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330" w:rsidRDefault="00E42330" w:rsidP="00E42330">
      <w:pPr>
        <w:ind w:firstLine="720"/>
        <w:jc w:val="center"/>
        <w:rPr>
          <w:b/>
          <w:bCs/>
          <w:sz w:val="24"/>
          <w:szCs w:val="24"/>
        </w:rPr>
      </w:pPr>
    </w:p>
    <w:p w:rsidR="00E42330" w:rsidRDefault="00E42330" w:rsidP="00E42330">
      <w:pPr>
        <w:ind w:firstLine="720"/>
        <w:jc w:val="center"/>
        <w:rPr>
          <w:b/>
          <w:bCs/>
          <w:sz w:val="24"/>
          <w:szCs w:val="24"/>
        </w:rPr>
      </w:pPr>
    </w:p>
    <w:p w:rsidR="00E42330" w:rsidRDefault="00E42330" w:rsidP="002B4B98">
      <w:pPr>
        <w:ind w:firstLine="720"/>
        <w:jc w:val="center"/>
        <w:rPr>
          <w:b/>
          <w:bCs/>
          <w:sz w:val="24"/>
          <w:szCs w:val="24"/>
        </w:rPr>
      </w:pPr>
      <w:r>
        <w:rPr>
          <w:b/>
          <w:bCs/>
          <w:noProof/>
          <w:sz w:val="24"/>
          <w:szCs w:val="24"/>
          <w:lang w:val="en-US"/>
        </w:rPr>
        <w:drawing>
          <wp:inline distT="0" distB="0" distL="0" distR="0" wp14:anchorId="2EDA4B34">
            <wp:extent cx="1493520" cy="1518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518285"/>
                    </a:xfrm>
                    <a:prstGeom prst="rect">
                      <a:avLst/>
                    </a:prstGeom>
                    <a:noFill/>
                  </pic:spPr>
                </pic:pic>
              </a:graphicData>
            </a:graphic>
          </wp:inline>
        </w:drawing>
      </w:r>
    </w:p>
    <w:p w:rsidR="00E42330" w:rsidRDefault="00E42330" w:rsidP="00E42330">
      <w:pPr>
        <w:ind w:firstLine="720"/>
        <w:jc w:val="center"/>
        <w:rPr>
          <w:b/>
          <w:bCs/>
          <w:sz w:val="24"/>
          <w:szCs w:val="24"/>
        </w:rPr>
      </w:pPr>
    </w:p>
    <w:p w:rsidR="00E42330" w:rsidRDefault="00E42330" w:rsidP="00E42330">
      <w:pPr>
        <w:ind w:firstLine="720"/>
        <w:jc w:val="center"/>
        <w:rPr>
          <w:b/>
          <w:bCs/>
          <w:sz w:val="24"/>
          <w:szCs w:val="24"/>
        </w:rPr>
      </w:pPr>
    </w:p>
    <w:p w:rsidR="00E42330" w:rsidRPr="002B4B98" w:rsidRDefault="00E42330" w:rsidP="002B4B98">
      <w:pPr>
        <w:spacing w:after="200" w:line="276" w:lineRule="auto"/>
        <w:jc w:val="center"/>
        <w:rPr>
          <w:rFonts w:ascii="Arial" w:eastAsiaTheme="minorHAnsi"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4B98">
        <w:rPr>
          <w:rFonts w:ascii="Arial" w:eastAsiaTheme="minorHAnsi"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ПРИОРИТЕТИ НА КОМИСИЯ ЗА ЗАЩИТА НА КОНКУРЕНЦИЯТА ПРЕЗ 2023 ГОДИНА ПРИ ОБРАЗУ</w:t>
      </w:r>
      <w:r w:rsidR="00BD0055">
        <w:rPr>
          <w:rFonts w:ascii="Arial" w:eastAsiaTheme="minorHAnsi"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В</w:t>
      </w:r>
      <w:r w:rsidRPr="002B4B98">
        <w:rPr>
          <w:rFonts w:ascii="Arial" w:eastAsiaTheme="minorHAnsi"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АНЕ НА ПРОИЗВОДСТВА ПО ГЛАВА ДЕВЕТА И ГЛ</w:t>
      </w:r>
      <w:bookmarkStart w:id="0" w:name="_GoBack"/>
      <w:bookmarkEnd w:id="0"/>
      <w:r w:rsidRPr="002B4B98">
        <w:rPr>
          <w:rFonts w:ascii="Arial" w:eastAsiaTheme="minorHAnsi" w:hAnsi="Arial" w:cs="Arial"/>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АВА ДВАНАДЕСЕТА ОТ ЗАКОНА ЗА ЗАЩИТА НА КОНКУРЕНЦИЯТА</w:t>
      </w:r>
    </w:p>
    <w:p w:rsidR="00E42330" w:rsidRPr="00C52D6C" w:rsidRDefault="00E42330" w:rsidP="00E42330">
      <w:pPr>
        <w:ind w:firstLine="720"/>
        <w:rPr>
          <w:b/>
          <w:sz w:val="24"/>
          <w:szCs w:val="24"/>
        </w:rPr>
      </w:pPr>
    </w:p>
    <w:p w:rsidR="00E42330" w:rsidRPr="00C52D6C" w:rsidRDefault="00E42330" w:rsidP="00E42330">
      <w:pPr>
        <w:ind w:firstLine="720"/>
        <w:rPr>
          <w:sz w:val="24"/>
          <w:szCs w:val="24"/>
          <w:lang w:val="en-US"/>
        </w:rPr>
      </w:pPr>
      <w:r w:rsidRPr="00C52D6C">
        <w:rPr>
          <w:sz w:val="24"/>
          <w:szCs w:val="24"/>
        </w:rPr>
        <w:t>В контекста на динамичната социално-икономическа и политическа обстановка, правоприлагането в областта на конкуренцията е важен инструмент в процеса по възстановяването на икономиката след пандемията и укрепването на вътрешния пазар, като най-висша ценност на европейската интеграция. Бизнесът и потребителите повече от всякога се нуждаят от конкурентни цени, разнообразие и иновации, а конкурентното право трябва да се адаптира, за да отговори адекватно на променящата се действителност.</w:t>
      </w:r>
    </w:p>
    <w:p w:rsidR="00E42330" w:rsidRPr="00C52D6C" w:rsidRDefault="00E42330" w:rsidP="00E42330">
      <w:pPr>
        <w:ind w:firstLine="720"/>
        <w:rPr>
          <w:sz w:val="24"/>
          <w:szCs w:val="24"/>
          <w:lang w:val="en-US"/>
        </w:rPr>
      </w:pPr>
    </w:p>
    <w:p w:rsidR="00E42330" w:rsidRPr="00C52D6C" w:rsidRDefault="00E42330" w:rsidP="00E42330">
      <w:pPr>
        <w:ind w:firstLine="720"/>
        <w:rPr>
          <w:b/>
          <w:sz w:val="24"/>
          <w:szCs w:val="24"/>
        </w:rPr>
      </w:pPr>
      <w:r w:rsidRPr="00C52D6C">
        <w:rPr>
          <w:b/>
          <w:sz w:val="24"/>
          <w:szCs w:val="24"/>
          <w:lang w:val="en-US"/>
        </w:rPr>
        <w:t>I</w:t>
      </w:r>
      <w:r w:rsidRPr="00C52D6C">
        <w:rPr>
          <w:b/>
          <w:sz w:val="24"/>
          <w:szCs w:val="24"/>
        </w:rPr>
        <w:t>.</w:t>
      </w:r>
      <w:r w:rsidRPr="00C52D6C">
        <w:rPr>
          <w:sz w:val="24"/>
          <w:szCs w:val="24"/>
        </w:rPr>
        <w:t xml:space="preserve"> </w:t>
      </w:r>
      <w:r w:rsidRPr="00C52D6C">
        <w:rPr>
          <w:b/>
          <w:sz w:val="24"/>
          <w:szCs w:val="24"/>
        </w:rPr>
        <w:t>Приоритети в дейността на Комисия за защита на конкуренцията за 2023 година при образуване на производствата по Глава девета от ЗЗК</w:t>
      </w:r>
    </w:p>
    <w:p w:rsidR="00E42330" w:rsidRPr="00C52D6C" w:rsidRDefault="00E42330" w:rsidP="00E42330">
      <w:pPr>
        <w:ind w:firstLine="720"/>
        <w:rPr>
          <w:sz w:val="24"/>
          <w:szCs w:val="24"/>
        </w:rPr>
      </w:pPr>
    </w:p>
    <w:p w:rsidR="00E42330" w:rsidRPr="00C52D6C" w:rsidRDefault="00E42330" w:rsidP="00E42330">
      <w:pPr>
        <w:ind w:firstLine="720"/>
        <w:rPr>
          <w:sz w:val="24"/>
          <w:szCs w:val="24"/>
        </w:rPr>
      </w:pPr>
      <w:r w:rsidRPr="00C52D6C">
        <w:rPr>
          <w:sz w:val="24"/>
          <w:szCs w:val="24"/>
        </w:rPr>
        <w:t xml:space="preserve">Списъкът с приоритети на Комисията не е изчерпателен и включването на даден сектор не означава непременно, че Комисията ще предприема действия по правоприлагане в сектора. По същия начин, отсъствието на някой сектор от списъка, не означава, че Комисията няма да извършва проучвания за установяване наличието на нарушения в рамките на съответния сектор. </w:t>
      </w:r>
    </w:p>
    <w:p w:rsidR="00E42330" w:rsidRPr="00C52D6C" w:rsidRDefault="00E42330" w:rsidP="00E42330">
      <w:pPr>
        <w:ind w:firstLine="720"/>
        <w:rPr>
          <w:sz w:val="24"/>
          <w:szCs w:val="24"/>
        </w:rPr>
      </w:pPr>
      <w:r w:rsidRPr="00C52D6C">
        <w:rPr>
          <w:sz w:val="24"/>
          <w:szCs w:val="24"/>
        </w:rPr>
        <w:t xml:space="preserve">Приоритизирането на секторите означава, че Комисията ще се съсредоточи по-специално върху определени сектори, когато изпълнява функциите си, включително наблюдение на пазара по своя собствена инициатива, разглеждане на сигнали, започване на </w:t>
      </w:r>
      <w:proofErr w:type="spellStart"/>
      <w:r w:rsidRPr="00C52D6C">
        <w:rPr>
          <w:sz w:val="24"/>
          <w:szCs w:val="24"/>
        </w:rPr>
        <w:t>административнопроизводствени</w:t>
      </w:r>
      <w:proofErr w:type="spellEnd"/>
      <w:r w:rsidRPr="00C52D6C">
        <w:rPr>
          <w:sz w:val="24"/>
          <w:szCs w:val="24"/>
        </w:rPr>
        <w:t xml:space="preserve"> действия и пазарни проучвания и продължаване на текущите действия по правоприлагане.</w:t>
      </w:r>
    </w:p>
    <w:p w:rsidR="00E42330" w:rsidRPr="00C52D6C" w:rsidRDefault="00E42330" w:rsidP="00E42330">
      <w:pPr>
        <w:rPr>
          <w:sz w:val="24"/>
          <w:szCs w:val="24"/>
        </w:rPr>
      </w:pPr>
    </w:p>
    <w:p w:rsidR="00E42330" w:rsidRPr="00C52D6C" w:rsidRDefault="00E42330" w:rsidP="00E42330">
      <w:pPr>
        <w:ind w:firstLine="720"/>
        <w:rPr>
          <w:b/>
          <w:sz w:val="24"/>
          <w:szCs w:val="24"/>
        </w:rPr>
      </w:pPr>
      <w:r w:rsidRPr="00C52D6C">
        <w:rPr>
          <w:b/>
          <w:sz w:val="24"/>
          <w:szCs w:val="24"/>
        </w:rPr>
        <w:lastRenderedPageBreak/>
        <w:t>Приоритетни сектори и практики:</w:t>
      </w:r>
    </w:p>
    <w:p w:rsidR="00E42330" w:rsidRPr="00C52D6C" w:rsidRDefault="00E42330" w:rsidP="00E42330">
      <w:pPr>
        <w:ind w:firstLine="720"/>
        <w:rPr>
          <w:sz w:val="24"/>
          <w:szCs w:val="24"/>
        </w:rPr>
      </w:pPr>
      <w:r w:rsidRPr="00C52D6C">
        <w:rPr>
          <w:b/>
          <w:sz w:val="24"/>
          <w:szCs w:val="24"/>
        </w:rPr>
        <w:t>1.</w:t>
      </w:r>
      <w:r w:rsidRPr="00C52D6C">
        <w:rPr>
          <w:sz w:val="24"/>
          <w:szCs w:val="24"/>
        </w:rPr>
        <w:tab/>
      </w:r>
      <w:r w:rsidRPr="00C52D6C">
        <w:rPr>
          <w:b/>
          <w:sz w:val="24"/>
          <w:szCs w:val="24"/>
        </w:rPr>
        <w:t>Сектор Фармация</w:t>
      </w:r>
      <w:r w:rsidRPr="00C52D6C">
        <w:rPr>
          <w:sz w:val="24"/>
          <w:szCs w:val="24"/>
        </w:rPr>
        <w:t xml:space="preserve"> </w:t>
      </w:r>
    </w:p>
    <w:p w:rsidR="00E42330" w:rsidRPr="00C52D6C" w:rsidRDefault="00E42330" w:rsidP="00E42330">
      <w:pPr>
        <w:ind w:firstLine="720"/>
        <w:rPr>
          <w:sz w:val="24"/>
          <w:szCs w:val="24"/>
        </w:rPr>
      </w:pPr>
      <w:r w:rsidRPr="00C52D6C">
        <w:rPr>
          <w:sz w:val="24"/>
          <w:szCs w:val="24"/>
        </w:rPr>
        <w:t xml:space="preserve">Фокусът върху този сектор се запазва в контекста на последиците от </w:t>
      </w:r>
      <w:proofErr w:type="spellStart"/>
      <w:r w:rsidRPr="00C52D6C">
        <w:rPr>
          <w:sz w:val="24"/>
          <w:szCs w:val="24"/>
        </w:rPr>
        <w:t>Коронавирусната</w:t>
      </w:r>
      <w:proofErr w:type="spellEnd"/>
      <w:r w:rsidRPr="00C52D6C">
        <w:rPr>
          <w:sz w:val="24"/>
          <w:szCs w:val="24"/>
        </w:rPr>
        <w:t xml:space="preserve"> пандемия и въздействието на сектора върху икономиката на страната. В Индия и Китай се произвеждат поне 40% от активните вещества, необходими за производството на медикаменти. Поради затрудненията в доставките на тези вещества, както за страната, така и за цяла Европа, се затруднява </w:t>
      </w:r>
      <w:proofErr w:type="spellStart"/>
      <w:r w:rsidRPr="00C52D6C">
        <w:rPr>
          <w:sz w:val="24"/>
          <w:szCs w:val="24"/>
        </w:rPr>
        <w:t>лекарствоснабдителният</w:t>
      </w:r>
      <w:proofErr w:type="spellEnd"/>
      <w:r w:rsidRPr="00C52D6C">
        <w:rPr>
          <w:sz w:val="24"/>
          <w:szCs w:val="24"/>
        </w:rPr>
        <w:t xml:space="preserve"> процес към страната, което води до недостиг или ограничени складови наличности на важни медикаменти, в т.ч. такива, с които се третират остри и хронични заболявания. В тази връзка Комисията ще следи поведението на всички участници в сектора по веригата за доставка на лекарствени продукти за хуманна медицина, с оглед предприемане на евентуални действия от нейна страна, които да подпомогнат конкурентния процес и да допринесат за правилното развитие на пазарната среда. </w:t>
      </w:r>
    </w:p>
    <w:p w:rsidR="00E42330" w:rsidRPr="00C52D6C" w:rsidRDefault="00E42330" w:rsidP="00E42330">
      <w:pPr>
        <w:ind w:firstLine="720"/>
        <w:rPr>
          <w:sz w:val="24"/>
          <w:szCs w:val="24"/>
        </w:rPr>
      </w:pPr>
      <w:r w:rsidRPr="00C52D6C">
        <w:rPr>
          <w:sz w:val="24"/>
          <w:szCs w:val="24"/>
        </w:rPr>
        <w:t>Предвид засиления обществен интерес, Комисията регулярно следи и публичните изявления на секторния регулатор, компетентните органи, браншовите и представителните организации, заети в сектора. Насърчаването на ефективна конкуренция на всички нива на дистрибуционната верига включва подобряването на условията за увеличаване на паралелния внос на лекарства, преустановяване на  евентуални злоупотреби, във връзка с периода на действие на патентната защита върху активни вещества, улесняване навлизането на пазара на генерични лекарствени продукти и др. Това именно ще бъде фокусът в политиката по правоприлагане на Комисията в сектора през 2023 година.</w:t>
      </w:r>
    </w:p>
    <w:p w:rsidR="00E42330" w:rsidRPr="00C52D6C" w:rsidRDefault="00E42330" w:rsidP="00E42330">
      <w:pPr>
        <w:rPr>
          <w:sz w:val="24"/>
          <w:szCs w:val="24"/>
        </w:rPr>
      </w:pPr>
    </w:p>
    <w:p w:rsidR="00E42330" w:rsidRPr="00C52D6C" w:rsidRDefault="00E42330" w:rsidP="00E42330">
      <w:pPr>
        <w:ind w:firstLine="709"/>
        <w:rPr>
          <w:sz w:val="24"/>
          <w:szCs w:val="24"/>
        </w:rPr>
      </w:pPr>
      <w:r w:rsidRPr="00C52D6C">
        <w:rPr>
          <w:b/>
          <w:sz w:val="24"/>
          <w:szCs w:val="24"/>
        </w:rPr>
        <w:t>2.</w:t>
      </w:r>
      <w:r w:rsidRPr="00C52D6C">
        <w:rPr>
          <w:sz w:val="24"/>
          <w:szCs w:val="24"/>
        </w:rPr>
        <w:tab/>
      </w:r>
      <w:r w:rsidRPr="00C52D6C">
        <w:rPr>
          <w:b/>
          <w:sz w:val="24"/>
          <w:szCs w:val="24"/>
        </w:rPr>
        <w:t>Цифрова икономика и електронна търговия</w:t>
      </w:r>
    </w:p>
    <w:p w:rsidR="00E42330" w:rsidRPr="00C52D6C" w:rsidRDefault="00E42330" w:rsidP="00E42330">
      <w:pPr>
        <w:ind w:firstLine="720"/>
        <w:rPr>
          <w:sz w:val="24"/>
          <w:szCs w:val="24"/>
        </w:rPr>
      </w:pPr>
      <w:r w:rsidRPr="00C52D6C">
        <w:rPr>
          <w:sz w:val="24"/>
          <w:szCs w:val="24"/>
        </w:rPr>
        <w:t xml:space="preserve">Цифровизацията на икономиката е необратим феномен и продължаващ процес, чиято значимост се засили през последното десетилетие и с още по-голям интензитет - през последните няколко години вследствие на </w:t>
      </w:r>
      <w:proofErr w:type="spellStart"/>
      <w:r w:rsidRPr="00C52D6C">
        <w:rPr>
          <w:sz w:val="24"/>
          <w:szCs w:val="24"/>
        </w:rPr>
        <w:t>пандемичната</w:t>
      </w:r>
      <w:proofErr w:type="spellEnd"/>
      <w:r w:rsidRPr="00C52D6C">
        <w:rPr>
          <w:sz w:val="24"/>
          <w:szCs w:val="24"/>
        </w:rPr>
        <w:t xml:space="preserve"> криза. Тази криза ускори цифровата трансформация на икономиката, поради което електронната търговия е избрана сред приоритетните сектори за Комисията. Предвид бързото развитие в сектора и неговия растеж, е нужно проследяване на пазарните процеси с цел защита на конкурентна динамика на пазара, включително на иновациите и конкурентоспособността.</w:t>
      </w:r>
    </w:p>
    <w:p w:rsidR="00E42330" w:rsidRPr="00C52D6C" w:rsidRDefault="00E42330" w:rsidP="00E42330">
      <w:pPr>
        <w:ind w:firstLine="720"/>
        <w:rPr>
          <w:sz w:val="24"/>
          <w:szCs w:val="24"/>
        </w:rPr>
      </w:pPr>
      <w:r w:rsidRPr="00C52D6C">
        <w:rPr>
          <w:sz w:val="24"/>
          <w:szCs w:val="24"/>
        </w:rPr>
        <w:t>Внимание на цифровите пазари, включително електронната търговия, се отделя и на ниво ЕС, чрез предприетите законодателни инициативи - Акт за цифровите услуги и Акт за цифровите пазари, както и от отделните държави-членки. В тази връзка, през предходната година Комисията инициира производство по секторен анализ, чрез което да се съберат данни, за да се извърши по-задълбочено проучване на конкурентната среда на пазара на електронната търговия с потребителски стоки и услуги на територията на страната.</w:t>
      </w:r>
    </w:p>
    <w:p w:rsidR="00E42330" w:rsidRPr="00C52D6C" w:rsidRDefault="00E42330" w:rsidP="00E42330">
      <w:pPr>
        <w:ind w:firstLine="720"/>
        <w:rPr>
          <w:sz w:val="24"/>
          <w:szCs w:val="24"/>
        </w:rPr>
      </w:pPr>
      <w:r w:rsidRPr="00C52D6C">
        <w:rPr>
          <w:sz w:val="24"/>
          <w:szCs w:val="24"/>
        </w:rPr>
        <w:t xml:space="preserve">Наблюдението над този сектор ще даде възможност за насърчаване на ефективна конкуренция, както и за предотвратяване или санкциониране на нови форми на забранени споразумения или злоупотреби с господстващо положение, за да се гарантира, че всички предприятия, работещи в него, имат по-добри шансове да се конкурират. Примери за такова поведение са използването на лични данни и алгоритми за улесняване на </w:t>
      </w:r>
      <w:proofErr w:type="spellStart"/>
      <w:r w:rsidRPr="00C52D6C">
        <w:rPr>
          <w:sz w:val="24"/>
          <w:szCs w:val="24"/>
        </w:rPr>
        <w:t>антитръстовите</w:t>
      </w:r>
      <w:proofErr w:type="spellEnd"/>
      <w:r w:rsidRPr="00C52D6C">
        <w:rPr>
          <w:sz w:val="24"/>
          <w:szCs w:val="24"/>
        </w:rPr>
        <w:t xml:space="preserve"> нарушения.</w:t>
      </w:r>
    </w:p>
    <w:p w:rsidR="00E42330" w:rsidRPr="00C52D6C" w:rsidRDefault="00E42330" w:rsidP="00E42330">
      <w:pPr>
        <w:ind w:firstLine="720"/>
        <w:rPr>
          <w:sz w:val="24"/>
          <w:szCs w:val="24"/>
        </w:rPr>
      </w:pPr>
    </w:p>
    <w:p w:rsidR="00E42330" w:rsidRPr="00C52D6C" w:rsidRDefault="00E42330" w:rsidP="00E42330">
      <w:pPr>
        <w:ind w:firstLine="720"/>
        <w:rPr>
          <w:sz w:val="24"/>
          <w:szCs w:val="24"/>
        </w:rPr>
      </w:pPr>
      <w:r w:rsidRPr="00C52D6C">
        <w:rPr>
          <w:b/>
          <w:sz w:val="24"/>
          <w:szCs w:val="24"/>
        </w:rPr>
        <w:t>3.</w:t>
      </w:r>
      <w:r w:rsidRPr="00C52D6C">
        <w:rPr>
          <w:sz w:val="24"/>
          <w:szCs w:val="24"/>
        </w:rPr>
        <w:tab/>
      </w:r>
      <w:r w:rsidRPr="00C52D6C">
        <w:rPr>
          <w:b/>
          <w:sz w:val="24"/>
          <w:szCs w:val="24"/>
        </w:rPr>
        <w:t>Енергиен сектор</w:t>
      </w:r>
    </w:p>
    <w:p w:rsidR="00E42330" w:rsidRPr="00C52D6C" w:rsidRDefault="00E42330" w:rsidP="00E42330">
      <w:pPr>
        <w:ind w:firstLine="720"/>
        <w:rPr>
          <w:sz w:val="24"/>
          <w:szCs w:val="24"/>
          <w:lang w:val="en-US"/>
        </w:rPr>
      </w:pPr>
      <w:r w:rsidRPr="00C52D6C">
        <w:rPr>
          <w:sz w:val="24"/>
          <w:szCs w:val="24"/>
        </w:rPr>
        <w:t xml:space="preserve">Глобалната енергийна криза, породена от войната между Русия и Украйна, преформулира световния енергиен ред и преразпредели тежестта на традиционните участници в енергийните доставки. Продължаващите военни действия имаха негативно </w:t>
      </w:r>
      <w:r w:rsidRPr="00C52D6C">
        <w:rPr>
          <w:sz w:val="24"/>
          <w:szCs w:val="24"/>
        </w:rPr>
        <w:lastRenderedPageBreak/>
        <w:t>отражение върху доставките на изкопаеми горива и отношенията на световния пазар, в които Руската федерация е водещ износител на природен газ и вторият по големина износител на петрол</w:t>
      </w:r>
      <w:r w:rsidRPr="00C52D6C">
        <w:rPr>
          <w:sz w:val="24"/>
          <w:szCs w:val="24"/>
          <w:lang w:val="en-US"/>
        </w:rPr>
        <w:t>.</w:t>
      </w:r>
      <w:r w:rsidRPr="00C52D6C">
        <w:rPr>
          <w:sz w:val="24"/>
          <w:szCs w:val="24"/>
        </w:rPr>
        <w:t xml:space="preserve"> Вследствие цените на енергията достигнаха безпрецедентни нива, особено в Европа, традиционно зависима от руския газ. Нуждата от сигурно, устойчиво, конкурентоспособно и ценово достъпно енергоснабдяване, поставя и този сектор сред приоритетите на Комисията. Още повече, това се налага поради </w:t>
      </w:r>
      <w:proofErr w:type="spellStart"/>
      <w:r w:rsidRPr="00C52D6C">
        <w:rPr>
          <w:sz w:val="24"/>
          <w:szCs w:val="24"/>
        </w:rPr>
        <w:t>декарбонизацията</w:t>
      </w:r>
      <w:proofErr w:type="spellEnd"/>
      <w:r w:rsidRPr="00C52D6C">
        <w:rPr>
          <w:sz w:val="24"/>
          <w:szCs w:val="24"/>
        </w:rPr>
        <w:t xml:space="preserve"> на енергийния сектор на ЕС и прехода към чиста енергия, което поражда необходимост от проследяване на правилата и принципите на вътрешния пазар на електроенергия, при отчитане на изискванията на устойчивото развитие и в частност на околната среда. </w:t>
      </w:r>
    </w:p>
    <w:p w:rsidR="00E42330" w:rsidRPr="00C52D6C" w:rsidRDefault="00E42330" w:rsidP="00E42330">
      <w:pPr>
        <w:ind w:firstLine="720"/>
        <w:rPr>
          <w:sz w:val="24"/>
          <w:szCs w:val="24"/>
        </w:rPr>
      </w:pPr>
      <w:r w:rsidRPr="00C52D6C">
        <w:rPr>
          <w:sz w:val="24"/>
          <w:szCs w:val="24"/>
        </w:rPr>
        <w:t>Сектор</w:t>
      </w:r>
      <w:r w:rsidRPr="00C52D6C">
        <w:rPr>
          <w:sz w:val="24"/>
          <w:szCs w:val="24"/>
          <w:lang w:val="en-US"/>
        </w:rPr>
        <w:t xml:space="preserve"> </w:t>
      </w:r>
      <w:r w:rsidRPr="00C52D6C">
        <w:rPr>
          <w:sz w:val="24"/>
          <w:szCs w:val="24"/>
        </w:rPr>
        <w:t>енергетика остава във фокуса на Комисията като сектор от социално-икономическо значение, особено предвид увеличението в световен и национален план на цените на природния газ и електроенергията, за да се гарантира, че пазарите работят по справедлив и прозрачен начин чрез предотвратяване на антиконкурентни практики.</w:t>
      </w:r>
    </w:p>
    <w:p w:rsidR="00E42330" w:rsidRPr="00C52D6C" w:rsidRDefault="00E42330" w:rsidP="00E42330">
      <w:pPr>
        <w:ind w:firstLine="720"/>
        <w:rPr>
          <w:sz w:val="24"/>
          <w:szCs w:val="24"/>
        </w:rPr>
      </w:pPr>
    </w:p>
    <w:p w:rsidR="00E42330" w:rsidRPr="00C52D6C" w:rsidRDefault="00E42330" w:rsidP="00E42330">
      <w:pPr>
        <w:ind w:firstLine="720"/>
        <w:rPr>
          <w:b/>
          <w:sz w:val="24"/>
          <w:szCs w:val="24"/>
        </w:rPr>
      </w:pPr>
      <w:r w:rsidRPr="00C52D6C">
        <w:rPr>
          <w:b/>
          <w:sz w:val="24"/>
          <w:szCs w:val="24"/>
        </w:rPr>
        <w:t>4.</w:t>
      </w:r>
      <w:r w:rsidRPr="00C52D6C">
        <w:rPr>
          <w:b/>
          <w:sz w:val="24"/>
          <w:szCs w:val="24"/>
        </w:rPr>
        <w:tab/>
        <w:t>Устойчивост</w:t>
      </w:r>
    </w:p>
    <w:p w:rsidR="00E42330" w:rsidRPr="00C52D6C" w:rsidRDefault="00E42330" w:rsidP="00E42330">
      <w:pPr>
        <w:ind w:firstLine="720"/>
        <w:rPr>
          <w:sz w:val="24"/>
          <w:szCs w:val="24"/>
        </w:rPr>
      </w:pPr>
      <w:r w:rsidRPr="00C52D6C">
        <w:rPr>
          <w:sz w:val="24"/>
          <w:szCs w:val="24"/>
        </w:rPr>
        <w:t xml:space="preserve">Климатичната криза, пред която сме изправени, налага да се ангажират всички политически инструменти за справяне с последиците от нея. Инициативи, които имат за резултат по-екологични продукти често биват изоставяни, поради опасения от противоречие с конкурентното право. В Европа все още се търси правилната формула, която да позволи на конкурентното право да подкрепи и дори да насърчи екологичната устойчивост на икономиката, като все по-широко възприето е схващането, че ползите от дадено споразумение в екологично отношение могат да надхвърлят вредата за конкуренцията, която това споразумение предизвиква на съответните пазари. Този подход би позволил при оценката за ефекта от дадено споразумение за хоризонтално сътрудничество да се вземат предвид ползите или вредите, произтичащи от него за цялото общество, вместо анализът да се ограничава до ефектите на съответния пазар, на който участниците в споразумението оперират. </w:t>
      </w:r>
    </w:p>
    <w:p w:rsidR="00E42330" w:rsidRPr="00C52D6C" w:rsidRDefault="00E42330" w:rsidP="00E42330">
      <w:pPr>
        <w:ind w:firstLine="708"/>
        <w:rPr>
          <w:sz w:val="24"/>
          <w:szCs w:val="24"/>
        </w:rPr>
      </w:pPr>
      <w:r w:rsidRPr="00C52D6C">
        <w:rPr>
          <w:sz w:val="24"/>
          <w:szCs w:val="24"/>
        </w:rPr>
        <w:t xml:space="preserve"> Предвид това, се отчита необходимостта от разработване на допълнителни насоки относно прилагането на правилата за конкуренция към споразуменията за устойчивост („зелени партньорства“),</w:t>
      </w:r>
      <w:r w:rsidRPr="00C52D6C">
        <w:rPr>
          <w:sz w:val="24"/>
          <w:szCs w:val="24"/>
          <w:lang w:val="en-US"/>
        </w:rPr>
        <w:t xml:space="preserve"> </w:t>
      </w:r>
      <w:r w:rsidRPr="00C52D6C">
        <w:rPr>
          <w:sz w:val="24"/>
          <w:szCs w:val="24"/>
        </w:rPr>
        <w:t>с което да се изпрати ясно послание до пазарните участници, че правоприлагането няма да възпрепятства сътрудничеството между предприятията, дори между конкуренти, което улеснява реализирането или напредъка към постигане на целите на политиките за устойчивост. В този контекст обаче следва да се държи сметка и за явлението „</w:t>
      </w:r>
      <w:r w:rsidRPr="00C52D6C">
        <w:rPr>
          <w:sz w:val="24"/>
          <w:szCs w:val="24"/>
          <w:lang w:val="en-US"/>
        </w:rPr>
        <w:t>greenwashing</w:t>
      </w:r>
      <w:r w:rsidRPr="00C52D6C">
        <w:rPr>
          <w:sz w:val="24"/>
          <w:szCs w:val="24"/>
        </w:rPr>
        <w:t xml:space="preserve">“, което е широко известен похват и икономическа стратегия на съвременните компании за убеждаване на обществеността относно екологичните характеристики или ползите </w:t>
      </w:r>
      <w:r w:rsidRPr="00C52D6C">
        <w:rPr>
          <w:color w:val="000000"/>
          <w:sz w:val="24"/>
          <w:szCs w:val="24"/>
          <w:shd w:val="clear" w:color="auto" w:fill="FFFFFF"/>
        </w:rPr>
        <w:t xml:space="preserve"> на </w:t>
      </w:r>
      <w:r w:rsidRPr="00C52D6C">
        <w:rPr>
          <w:sz w:val="24"/>
          <w:szCs w:val="24"/>
        </w:rPr>
        <w:t xml:space="preserve">продуктите, целите и политиките им. Практиката на органите по конкуренция показва, че </w:t>
      </w:r>
      <w:r w:rsidRPr="00C52D6C">
        <w:rPr>
          <w:rStyle w:val="Strong"/>
          <w:color w:val="000000"/>
          <w:sz w:val="24"/>
          <w:szCs w:val="24"/>
          <w:shd w:val="clear" w:color="auto" w:fill="FFFFFF"/>
        </w:rPr>
        <w:t xml:space="preserve"> </w:t>
      </w:r>
      <w:r w:rsidRPr="00C52D6C">
        <w:rPr>
          <w:sz w:val="24"/>
          <w:szCs w:val="24"/>
        </w:rPr>
        <w:t>се увеличават случаите, в които подобно  поведение на предприятия  има за цел да създаде по-скоро погрешно</w:t>
      </w:r>
      <w:r w:rsidRPr="00C52D6C">
        <w:rPr>
          <w:rStyle w:val="Strong"/>
          <w:color w:val="000000"/>
          <w:sz w:val="24"/>
          <w:szCs w:val="24"/>
          <w:shd w:val="clear" w:color="auto" w:fill="FFFFFF"/>
        </w:rPr>
        <w:t xml:space="preserve"> </w:t>
      </w:r>
      <w:r w:rsidRPr="00C52D6C">
        <w:rPr>
          <w:sz w:val="24"/>
          <w:szCs w:val="24"/>
        </w:rPr>
        <w:t xml:space="preserve">впечатление за въздействието му върху околната среда, прикривайки нарушения на правилата на конкуренцията чрез преувеличаване на ползите от поведението им, претендирайки че преследва устойчиви цели. Именно поради това основен фокус на Комисията следва да бъде защитата на конкуренцията по отношение на насърчаване на устойчива инфраструктура и укрепване на иновациите за развитие на по-конкурентни, екологично ориентирани пазари. </w:t>
      </w:r>
    </w:p>
    <w:p w:rsidR="00E42330" w:rsidRPr="00C52D6C" w:rsidRDefault="00E42330" w:rsidP="00E42330">
      <w:pPr>
        <w:ind w:firstLine="720"/>
        <w:rPr>
          <w:sz w:val="24"/>
          <w:szCs w:val="24"/>
        </w:rPr>
      </w:pPr>
    </w:p>
    <w:p w:rsidR="00E42330" w:rsidRPr="00C52D6C" w:rsidRDefault="00E42330" w:rsidP="00E42330">
      <w:pPr>
        <w:ind w:firstLine="720"/>
        <w:rPr>
          <w:b/>
          <w:sz w:val="24"/>
          <w:szCs w:val="24"/>
        </w:rPr>
      </w:pPr>
      <w:r w:rsidRPr="00C52D6C">
        <w:rPr>
          <w:b/>
          <w:sz w:val="24"/>
          <w:szCs w:val="24"/>
        </w:rPr>
        <w:t>5.</w:t>
      </w:r>
      <w:r w:rsidRPr="00C52D6C">
        <w:rPr>
          <w:b/>
          <w:sz w:val="24"/>
          <w:szCs w:val="24"/>
        </w:rPr>
        <w:tab/>
        <w:t>Тръжни манипулации и забранени споразумения</w:t>
      </w:r>
    </w:p>
    <w:p w:rsidR="00E42330" w:rsidRPr="00C52D6C" w:rsidRDefault="00E42330" w:rsidP="00E42330">
      <w:pPr>
        <w:ind w:firstLine="720"/>
        <w:rPr>
          <w:sz w:val="24"/>
          <w:szCs w:val="24"/>
          <w:lang w:val="en-US"/>
        </w:rPr>
      </w:pPr>
      <w:r w:rsidRPr="00C52D6C">
        <w:rPr>
          <w:sz w:val="24"/>
          <w:szCs w:val="24"/>
        </w:rPr>
        <w:t xml:space="preserve">Забранените споразумения и в т.ч. картелите са най-тежката форма на </w:t>
      </w:r>
      <w:proofErr w:type="spellStart"/>
      <w:r w:rsidRPr="00C52D6C">
        <w:rPr>
          <w:sz w:val="24"/>
          <w:szCs w:val="24"/>
        </w:rPr>
        <w:t>антиконкурентно</w:t>
      </w:r>
      <w:proofErr w:type="spellEnd"/>
      <w:r w:rsidRPr="00C52D6C">
        <w:rPr>
          <w:sz w:val="24"/>
          <w:szCs w:val="24"/>
        </w:rPr>
        <w:t xml:space="preserve"> поведение и увреждат в най-голяма степен интересите на потребителите. Разкриването на тръжни манипулации, като форма на </w:t>
      </w:r>
      <w:proofErr w:type="spellStart"/>
      <w:r w:rsidRPr="00C52D6C">
        <w:rPr>
          <w:sz w:val="24"/>
          <w:szCs w:val="24"/>
        </w:rPr>
        <w:t>картелиране</w:t>
      </w:r>
      <w:proofErr w:type="spellEnd"/>
      <w:r w:rsidRPr="00C52D6C">
        <w:rPr>
          <w:sz w:val="24"/>
          <w:szCs w:val="24"/>
        </w:rPr>
        <w:t xml:space="preserve">, продължава да бъде приоритет на Комисията, тъй като обществените поръчки са особено </w:t>
      </w:r>
      <w:r w:rsidRPr="00C52D6C">
        <w:rPr>
          <w:sz w:val="24"/>
          <w:szCs w:val="24"/>
        </w:rPr>
        <w:lastRenderedPageBreak/>
        <w:t>изложени на риск от антиконкурентни практики, които причиняват значителни вреди на възложителите и засягат правилното разходване на публичните средства. Това от своя страна</w:t>
      </w:r>
      <w:r w:rsidRPr="00C52D6C">
        <w:rPr>
          <w:sz w:val="24"/>
          <w:szCs w:val="24"/>
          <w:lang w:val="en-US"/>
        </w:rPr>
        <w:t xml:space="preserve"> </w:t>
      </w:r>
      <w:r w:rsidRPr="00C52D6C">
        <w:rPr>
          <w:sz w:val="24"/>
          <w:szCs w:val="24"/>
        </w:rPr>
        <w:t xml:space="preserve">може да окаже въздействие върху структурата на пазара, конкурентния процес между предприятията, както и значително да повлияе върху стопанското поведение на кандидатите или участниците в съответните </w:t>
      </w:r>
      <w:proofErr w:type="spellStart"/>
      <w:r w:rsidRPr="00C52D6C">
        <w:rPr>
          <w:sz w:val="24"/>
          <w:szCs w:val="24"/>
        </w:rPr>
        <w:t>възлагателни</w:t>
      </w:r>
      <w:proofErr w:type="spellEnd"/>
      <w:r w:rsidRPr="00C52D6C">
        <w:rPr>
          <w:sz w:val="24"/>
          <w:szCs w:val="24"/>
        </w:rPr>
        <w:t xml:space="preserve"> процедури. В интерес на обществото като цяло е да се гарантира рационално, справедливо и прозрачно разпределение на публичния ресурс в периода на икономическо възстановяване от последиците на кризата, породена от разпространението на </w:t>
      </w:r>
      <w:r w:rsidRPr="00C52D6C">
        <w:rPr>
          <w:sz w:val="24"/>
          <w:szCs w:val="24"/>
          <w:lang w:val="en-US"/>
        </w:rPr>
        <w:t>COVID-19.</w:t>
      </w:r>
      <w:r w:rsidRPr="00C52D6C">
        <w:rPr>
          <w:sz w:val="24"/>
          <w:szCs w:val="24"/>
        </w:rPr>
        <w:t xml:space="preserve"> Комисията ще проучи възможностите за внедряване на инструменти, които да позволят автоматично събиране и анализ на данни от процедурите, които да улеснят откриването на такова поведение. КЗК ще насочи усилията си и в посока </w:t>
      </w:r>
      <w:r w:rsidRPr="00C52D6C">
        <w:rPr>
          <w:rFonts w:eastAsiaTheme="minorHAnsi"/>
          <w:sz w:val="24"/>
          <w:szCs w:val="24"/>
        </w:rPr>
        <w:t>повишаване осведомеността и</w:t>
      </w:r>
      <w:r w:rsidRPr="00C52D6C">
        <w:rPr>
          <w:sz w:val="24"/>
          <w:szCs w:val="24"/>
        </w:rPr>
        <w:t xml:space="preserve"> провеждане на обучения на възложители за по-ефективна превенция и откриване на тайни споразумения при възлагане на обществени поръчки, с оглед </w:t>
      </w:r>
      <w:r w:rsidRPr="00C52D6C">
        <w:rPr>
          <w:rFonts w:eastAsiaTheme="minorHAnsi"/>
          <w:sz w:val="24"/>
          <w:szCs w:val="24"/>
        </w:rPr>
        <w:t>намаляване на риска от такъв тип забранени споразумения.</w:t>
      </w:r>
      <w:r w:rsidRPr="00C52D6C">
        <w:rPr>
          <w:sz w:val="24"/>
          <w:szCs w:val="24"/>
        </w:rPr>
        <w:t xml:space="preserve"> </w:t>
      </w:r>
    </w:p>
    <w:p w:rsidR="00E42330" w:rsidRPr="00C52D6C" w:rsidRDefault="00E42330" w:rsidP="00E42330">
      <w:pPr>
        <w:ind w:firstLine="720"/>
        <w:rPr>
          <w:sz w:val="24"/>
          <w:szCs w:val="24"/>
        </w:rPr>
      </w:pPr>
      <w:r w:rsidRPr="00C52D6C">
        <w:rPr>
          <w:sz w:val="24"/>
          <w:szCs w:val="24"/>
        </w:rPr>
        <w:t>Наред с борбата с тръжните манипулации, картелите и забранените споразумения с предмет фиксиране на цени и разпределяне на пазари също са основен приоритет в работата на Комисията, поради високата степен на увреждане на пазарните отношения.</w:t>
      </w:r>
    </w:p>
    <w:p w:rsidR="00E42330" w:rsidRPr="00C52D6C" w:rsidRDefault="00E42330" w:rsidP="00E42330">
      <w:pPr>
        <w:ind w:firstLine="720"/>
        <w:rPr>
          <w:sz w:val="24"/>
          <w:szCs w:val="24"/>
        </w:rPr>
      </w:pPr>
    </w:p>
    <w:p w:rsidR="00E42330" w:rsidRPr="00C52D6C" w:rsidRDefault="00E42330" w:rsidP="00E42330">
      <w:pPr>
        <w:ind w:firstLine="720"/>
        <w:rPr>
          <w:b/>
          <w:sz w:val="24"/>
          <w:szCs w:val="24"/>
        </w:rPr>
      </w:pPr>
      <w:r w:rsidRPr="00C52D6C">
        <w:rPr>
          <w:b/>
          <w:sz w:val="24"/>
          <w:szCs w:val="24"/>
        </w:rPr>
        <w:t>6.</w:t>
      </w:r>
      <w:r w:rsidRPr="00C52D6C">
        <w:rPr>
          <w:b/>
          <w:sz w:val="24"/>
          <w:szCs w:val="24"/>
        </w:rPr>
        <w:tab/>
        <w:t>Горива</w:t>
      </w:r>
    </w:p>
    <w:p w:rsidR="00E42330" w:rsidRPr="00C52D6C" w:rsidRDefault="00E42330" w:rsidP="00E42330">
      <w:pPr>
        <w:ind w:firstLine="720"/>
        <w:rPr>
          <w:sz w:val="24"/>
          <w:szCs w:val="24"/>
        </w:rPr>
      </w:pPr>
      <w:r w:rsidRPr="00C52D6C">
        <w:rPr>
          <w:sz w:val="24"/>
          <w:szCs w:val="24"/>
        </w:rPr>
        <w:t xml:space="preserve">Секторът на автомобилните горива също продължава да бъде приоритет в работата на Комисията, с оглед социално-икономическата им значимост, както и прекият им ефект върху икономиката, в това число и по отношение на цените на стоките и услугите, предлагани на българския пазар. В практиката си през годините, Комисията е установявала конкурентни проблеми в сектора, като ясно е посочвала конкретни мерки за тяхното отстраняване. В хода на няколко текущи производства КЗК анализира настоящите проблеми в сектор горива, отчитайки динамично променящата се международна обстановка, вследствие на нарастващите цени, изменението на котировките на международните пазари за търговия на нефт и нефтопродукти и други </w:t>
      </w:r>
      <w:proofErr w:type="spellStart"/>
      <w:r w:rsidRPr="00C52D6C">
        <w:rPr>
          <w:sz w:val="24"/>
          <w:szCs w:val="24"/>
        </w:rPr>
        <w:t>относими</w:t>
      </w:r>
      <w:proofErr w:type="spellEnd"/>
      <w:r w:rsidRPr="00C52D6C">
        <w:rPr>
          <w:sz w:val="24"/>
          <w:szCs w:val="24"/>
        </w:rPr>
        <w:t xml:space="preserve"> фактори.</w:t>
      </w:r>
    </w:p>
    <w:p w:rsidR="00E42330" w:rsidRPr="00C52D6C" w:rsidRDefault="00E42330" w:rsidP="00E42330">
      <w:pPr>
        <w:ind w:firstLine="720"/>
        <w:rPr>
          <w:sz w:val="24"/>
          <w:szCs w:val="24"/>
        </w:rPr>
      </w:pPr>
      <w:r w:rsidRPr="00C52D6C">
        <w:rPr>
          <w:sz w:val="24"/>
          <w:szCs w:val="24"/>
        </w:rPr>
        <w:t>Цените на горивата в целия свят са изключително високи, отчасти поради затруднения в рафинирането, но също така и вследствие на войната между Русия и Украйна и смущенията, които тя предизвика на петролните пазари. Налагането на санкции на Русия като един от големите износители на петрол неминуемо допълнително оказва влияние на тези пазари.</w:t>
      </w:r>
      <w:r w:rsidRPr="00C52D6C">
        <w:rPr>
          <w:sz w:val="24"/>
          <w:szCs w:val="24"/>
          <w:lang w:val="en-US"/>
        </w:rPr>
        <w:t xml:space="preserve"> </w:t>
      </w:r>
      <w:r w:rsidRPr="00C52D6C">
        <w:rPr>
          <w:sz w:val="24"/>
          <w:szCs w:val="24"/>
        </w:rPr>
        <w:t xml:space="preserve">Въпреки </w:t>
      </w:r>
      <w:proofErr w:type="spellStart"/>
      <w:r w:rsidRPr="00C52D6C">
        <w:rPr>
          <w:sz w:val="24"/>
          <w:szCs w:val="24"/>
        </w:rPr>
        <w:t>дерогацията</w:t>
      </w:r>
      <w:proofErr w:type="spellEnd"/>
      <w:r w:rsidRPr="00C52D6C">
        <w:rPr>
          <w:sz w:val="24"/>
          <w:szCs w:val="24"/>
        </w:rPr>
        <w:t xml:space="preserve"> от петролното ембарго за България, националният пазар се влияе от обстановката на международните пазари, най-малко поради наличието на внос в страната, както и факта, че най-голямата рафинерия в страната използва основно руски нефт за преработка. Поради това, Комисията ще продължи и през 2023г. да следи за запазването на честна и открита конкуренция в сектора, като не допуска нито едно предприятие да се възползва от тежката международна ситуацията чрез злоупотреби с пазарното си положение или чрез забранени споразумения с други предприятия. </w:t>
      </w:r>
    </w:p>
    <w:p w:rsidR="00E42330" w:rsidRPr="00C52D6C" w:rsidRDefault="00E42330" w:rsidP="00E42330">
      <w:pPr>
        <w:ind w:firstLine="720"/>
        <w:rPr>
          <w:sz w:val="24"/>
          <w:szCs w:val="24"/>
        </w:rPr>
      </w:pPr>
    </w:p>
    <w:p w:rsidR="00E42330" w:rsidRPr="00C52D6C" w:rsidRDefault="00E42330" w:rsidP="00E42330">
      <w:pPr>
        <w:ind w:firstLine="720"/>
        <w:rPr>
          <w:b/>
          <w:sz w:val="24"/>
          <w:szCs w:val="24"/>
        </w:rPr>
      </w:pPr>
      <w:r w:rsidRPr="00C52D6C">
        <w:rPr>
          <w:b/>
          <w:sz w:val="24"/>
          <w:szCs w:val="24"/>
        </w:rPr>
        <w:t>7.</w:t>
      </w:r>
      <w:r w:rsidRPr="00C52D6C">
        <w:rPr>
          <w:b/>
          <w:sz w:val="24"/>
          <w:szCs w:val="24"/>
        </w:rPr>
        <w:tab/>
        <w:t>Производство и търговия в сектор храни</w:t>
      </w:r>
    </w:p>
    <w:p w:rsidR="00E42330" w:rsidRPr="00C52D6C" w:rsidRDefault="00E42330" w:rsidP="00E42330">
      <w:pPr>
        <w:ind w:firstLine="720"/>
        <w:rPr>
          <w:sz w:val="24"/>
          <w:szCs w:val="24"/>
        </w:rPr>
      </w:pPr>
      <w:r w:rsidRPr="00C52D6C">
        <w:rPr>
          <w:sz w:val="24"/>
          <w:szCs w:val="24"/>
        </w:rPr>
        <w:t>Като приоритет в работата на Комисията през 202</w:t>
      </w:r>
      <w:r w:rsidRPr="00C52D6C">
        <w:rPr>
          <w:sz w:val="24"/>
          <w:szCs w:val="24"/>
          <w:lang w:val="en-US"/>
        </w:rPr>
        <w:t>3</w:t>
      </w:r>
      <w:r w:rsidRPr="00C52D6C">
        <w:rPr>
          <w:sz w:val="24"/>
          <w:szCs w:val="24"/>
        </w:rPr>
        <w:t xml:space="preserve"> г. следва да се включат и производството и търговията с жизнено важни хранителни стоки - захар, брашно, олио, ориз и варива, както и млечни и месни продукти. Динамиката в изменението на цените на тези хранителните стоки, е функция от множество фактори, в това число недостигът на важни суровини и продукти от първа необходимост, като последица от войната в Украйна и предприетите икономически санкции спрямо Руската Федерация. Основни структуроопределящи елементи за цените на крайните продукти са цените на суровините </w:t>
      </w:r>
      <w:r w:rsidRPr="00C52D6C">
        <w:rPr>
          <w:sz w:val="24"/>
          <w:szCs w:val="24"/>
        </w:rPr>
        <w:lastRenderedPageBreak/>
        <w:t xml:space="preserve">и производствените разходи, които са в пряка връзка с други приоритетни сектори – енергийният и секторът на горивата. Предвид това, наред с горепосочените, Комисията се ангажира да следи за </w:t>
      </w:r>
      <w:proofErr w:type="spellStart"/>
      <w:r w:rsidRPr="00C52D6C">
        <w:rPr>
          <w:sz w:val="24"/>
          <w:szCs w:val="24"/>
        </w:rPr>
        <w:t>антиконкурентно</w:t>
      </w:r>
      <w:proofErr w:type="spellEnd"/>
      <w:r w:rsidRPr="00C52D6C">
        <w:rPr>
          <w:sz w:val="24"/>
          <w:szCs w:val="24"/>
        </w:rPr>
        <w:t xml:space="preserve"> поведение от страна на участниците и при производството и търговията в сектор храни.</w:t>
      </w:r>
    </w:p>
    <w:p w:rsidR="00E42330" w:rsidRPr="00C52D6C" w:rsidRDefault="00E42330" w:rsidP="00E42330">
      <w:pPr>
        <w:ind w:firstLine="720"/>
        <w:rPr>
          <w:sz w:val="24"/>
          <w:szCs w:val="24"/>
        </w:rPr>
      </w:pPr>
    </w:p>
    <w:p w:rsidR="00E42330" w:rsidRPr="00C52D6C" w:rsidRDefault="00E42330" w:rsidP="00E42330">
      <w:pPr>
        <w:ind w:firstLine="720"/>
        <w:rPr>
          <w:sz w:val="24"/>
          <w:szCs w:val="24"/>
          <w:lang w:val="en-US"/>
        </w:rPr>
      </w:pPr>
      <w:r w:rsidRPr="00C52D6C">
        <w:rPr>
          <w:b/>
          <w:sz w:val="24"/>
          <w:szCs w:val="24"/>
          <w:lang w:val="en-US"/>
        </w:rPr>
        <w:t xml:space="preserve">8.        </w:t>
      </w:r>
      <w:r w:rsidRPr="00C52D6C">
        <w:rPr>
          <w:b/>
          <w:sz w:val="24"/>
          <w:szCs w:val="24"/>
        </w:rPr>
        <w:t>Финансови услуги</w:t>
      </w:r>
    </w:p>
    <w:p w:rsidR="00E42330" w:rsidRPr="00C52D6C" w:rsidRDefault="00E42330" w:rsidP="00E42330">
      <w:pPr>
        <w:ind w:firstLine="720"/>
        <w:rPr>
          <w:sz w:val="24"/>
          <w:szCs w:val="24"/>
        </w:rPr>
      </w:pPr>
      <w:r w:rsidRPr="00C52D6C">
        <w:rPr>
          <w:sz w:val="24"/>
          <w:szCs w:val="24"/>
        </w:rPr>
        <w:t xml:space="preserve">Платежните системи и услуги се развиват изключително динамично. </w:t>
      </w:r>
      <w:proofErr w:type="spellStart"/>
      <w:r w:rsidRPr="00C52D6C">
        <w:rPr>
          <w:sz w:val="24"/>
          <w:szCs w:val="24"/>
        </w:rPr>
        <w:t>Ковид</w:t>
      </w:r>
      <w:proofErr w:type="spellEnd"/>
      <w:r w:rsidRPr="00C52D6C">
        <w:rPr>
          <w:sz w:val="24"/>
          <w:szCs w:val="24"/>
        </w:rPr>
        <w:t xml:space="preserve"> пандемията</w:t>
      </w:r>
      <w:r w:rsidRPr="00C52D6C">
        <w:rPr>
          <w:sz w:val="24"/>
          <w:szCs w:val="24"/>
          <w:lang w:val="en-US"/>
        </w:rPr>
        <w:t xml:space="preserve"> </w:t>
      </w:r>
      <w:r w:rsidRPr="00C52D6C">
        <w:rPr>
          <w:sz w:val="24"/>
          <w:szCs w:val="24"/>
        </w:rPr>
        <w:t xml:space="preserve">ускори прехода към електронни разплащания и предизвика голяма промяна в начина на живот на хората, начина по който осъществяват бизнеса си и взаимодействат с икономиката като цяло. Дълго осъществяваният преход към картови разплащания се трансформира в преход към карти, дигитално съхранявани в мобилни портфейли на </w:t>
      </w:r>
      <w:proofErr w:type="spellStart"/>
      <w:r w:rsidRPr="00C52D6C">
        <w:rPr>
          <w:sz w:val="24"/>
          <w:szCs w:val="24"/>
        </w:rPr>
        <w:t>смарт</w:t>
      </w:r>
      <w:proofErr w:type="spellEnd"/>
      <w:r w:rsidRPr="00C52D6C">
        <w:rPr>
          <w:sz w:val="24"/>
          <w:szCs w:val="24"/>
        </w:rPr>
        <w:t xml:space="preserve"> мобилни устройства, които се използват все повече за безконтактни плащания във физически точки и все повече за онлайн плащания. Появиха се нови платежни приложения, които също постепенно се превръщат в предпочитан платежен метод.  Следва също да се отчете увеличаването на алтернативни платежни методи, като </w:t>
      </w:r>
      <w:proofErr w:type="spellStart"/>
      <w:r w:rsidRPr="00C52D6C">
        <w:rPr>
          <w:sz w:val="24"/>
          <w:szCs w:val="24"/>
        </w:rPr>
        <w:t>криптовалутите</w:t>
      </w:r>
      <w:proofErr w:type="spellEnd"/>
      <w:r w:rsidRPr="00C52D6C">
        <w:rPr>
          <w:sz w:val="24"/>
          <w:szCs w:val="24"/>
        </w:rPr>
        <w:t xml:space="preserve">. </w:t>
      </w:r>
    </w:p>
    <w:p w:rsidR="00E42330" w:rsidRPr="00C52D6C" w:rsidRDefault="00E42330" w:rsidP="00E42330">
      <w:pPr>
        <w:ind w:firstLine="720"/>
        <w:rPr>
          <w:sz w:val="24"/>
          <w:szCs w:val="24"/>
        </w:rPr>
      </w:pPr>
      <w:r w:rsidRPr="00C52D6C">
        <w:rPr>
          <w:sz w:val="24"/>
          <w:szCs w:val="24"/>
        </w:rPr>
        <w:t xml:space="preserve">Това развитие на сектора доведе до появата на нови услуги и нови участници в платежната екосистема. В световен мащаб нови участници в областта на финансовите услуги навлизат на пазарите на платежни услуги, а доставчиците на </w:t>
      </w:r>
      <w:proofErr w:type="spellStart"/>
      <w:r w:rsidRPr="00C52D6C">
        <w:rPr>
          <w:sz w:val="24"/>
          <w:szCs w:val="24"/>
        </w:rPr>
        <w:t>Финтех</w:t>
      </w:r>
      <w:proofErr w:type="spellEnd"/>
      <w:r w:rsidRPr="00C52D6C">
        <w:rPr>
          <w:sz w:val="24"/>
          <w:szCs w:val="24"/>
        </w:rPr>
        <w:t xml:space="preserve"> услуги продължават да засилват позициите си в много аспекти. Те се конкурират с традиционни доставчици на финансови услуги като картови схеми, депозити и кредитни услуги, както и традиционни застрахователни услуги.  КЗК се ангажира да охранява конкуренцията в този важен сектор, конкретно по повод бързоразвиващите се отношения на търсене и предлагане.</w:t>
      </w:r>
    </w:p>
    <w:p w:rsidR="00E42330" w:rsidRPr="00C52D6C" w:rsidRDefault="00E42330" w:rsidP="00E42330">
      <w:pPr>
        <w:ind w:firstLine="720"/>
        <w:rPr>
          <w:sz w:val="24"/>
          <w:szCs w:val="24"/>
        </w:rPr>
      </w:pPr>
      <w:r w:rsidRPr="00C52D6C">
        <w:rPr>
          <w:sz w:val="24"/>
          <w:szCs w:val="24"/>
        </w:rPr>
        <w:t>Независимо от ползите, които съпътстват иновациите в пазарите на платежни услуги, Комисията ще наблюдава развитието на тези процеси и отношения и регулаторната рамка, като ще се намесва в съответствие с правораздавателните си компетенции.</w:t>
      </w:r>
    </w:p>
    <w:p w:rsidR="00E42330" w:rsidRPr="00C52D6C" w:rsidRDefault="00E42330" w:rsidP="00E42330">
      <w:pPr>
        <w:ind w:firstLine="720"/>
        <w:rPr>
          <w:b/>
          <w:sz w:val="24"/>
          <w:szCs w:val="24"/>
        </w:rPr>
      </w:pPr>
    </w:p>
    <w:p w:rsidR="00E42330" w:rsidRPr="00C52D6C" w:rsidRDefault="00E42330" w:rsidP="00E42330">
      <w:pPr>
        <w:ind w:firstLine="720"/>
        <w:rPr>
          <w:sz w:val="24"/>
          <w:szCs w:val="24"/>
        </w:rPr>
      </w:pPr>
      <w:r w:rsidRPr="00C52D6C">
        <w:rPr>
          <w:b/>
          <w:sz w:val="24"/>
          <w:szCs w:val="24"/>
        </w:rPr>
        <w:t xml:space="preserve">9. </w:t>
      </w:r>
      <w:r w:rsidRPr="00C52D6C">
        <w:rPr>
          <w:b/>
          <w:sz w:val="24"/>
          <w:szCs w:val="24"/>
          <w:lang w:val="en-US"/>
        </w:rPr>
        <w:t xml:space="preserve">       </w:t>
      </w:r>
      <w:r w:rsidRPr="00C52D6C">
        <w:rPr>
          <w:b/>
          <w:sz w:val="24"/>
          <w:szCs w:val="24"/>
        </w:rPr>
        <w:t xml:space="preserve">Забранени споразумения между конкуренти на пазара на труда </w:t>
      </w:r>
    </w:p>
    <w:p w:rsidR="00E42330" w:rsidRPr="00C52D6C" w:rsidRDefault="00E42330" w:rsidP="00E42330">
      <w:pPr>
        <w:ind w:firstLine="720"/>
        <w:rPr>
          <w:sz w:val="24"/>
          <w:szCs w:val="24"/>
        </w:rPr>
      </w:pPr>
      <w:r w:rsidRPr="00C52D6C">
        <w:rPr>
          <w:sz w:val="24"/>
          <w:szCs w:val="24"/>
        </w:rPr>
        <w:t xml:space="preserve">Така наречените </w:t>
      </w:r>
      <w:r w:rsidRPr="00C52D6C">
        <w:rPr>
          <w:sz w:val="24"/>
          <w:szCs w:val="24"/>
          <w:lang w:val="en-US"/>
        </w:rPr>
        <w:t xml:space="preserve">“no-poach agreements” </w:t>
      </w:r>
      <w:r w:rsidRPr="00C52D6C">
        <w:rPr>
          <w:sz w:val="24"/>
          <w:szCs w:val="24"/>
        </w:rPr>
        <w:t xml:space="preserve">са споразумения между работодатели/или конкуренти на пазара на труда с цел да не привличат и/или наемат служители един от друг. Споразуменията потенциално ограничават конкуренцията, като пречат на дружествата да набират ефективно служители или да се конкурират за служители, като предлагат по-конкурентно възнаграждение или условия на труд. </w:t>
      </w:r>
    </w:p>
    <w:p w:rsidR="00E42330" w:rsidRPr="00C52D6C" w:rsidRDefault="00E42330" w:rsidP="00E42330">
      <w:pPr>
        <w:ind w:firstLine="720"/>
        <w:rPr>
          <w:sz w:val="24"/>
          <w:szCs w:val="24"/>
        </w:rPr>
      </w:pPr>
      <w:r w:rsidRPr="00C52D6C">
        <w:rPr>
          <w:sz w:val="24"/>
          <w:szCs w:val="24"/>
        </w:rPr>
        <w:t xml:space="preserve">Тенденцията органите по конкуренция да разглеждат подобни антиконкурентни споразумения  набира скорост по целия свят, особено след </w:t>
      </w:r>
      <w:proofErr w:type="spellStart"/>
      <w:r w:rsidRPr="00C52D6C">
        <w:rPr>
          <w:sz w:val="24"/>
          <w:szCs w:val="24"/>
        </w:rPr>
        <w:t>Ковид</w:t>
      </w:r>
      <w:proofErr w:type="spellEnd"/>
      <w:r w:rsidRPr="00C52D6C">
        <w:rPr>
          <w:sz w:val="24"/>
          <w:szCs w:val="24"/>
        </w:rPr>
        <w:t xml:space="preserve"> пандемията и променените условия на труд в почти всеки един сектор на икономиката. Очаква се това да продължи и занапред, особено като се има предвид нарастващия брой  на такива споразумения като стандартна практика в областта на човешките ресурси в редица индустрии. </w:t>
      </w:r>
    </w:p>
    <w:p w:rsidR="00E42330" w:rsidRPr="00C52D6C" w:rsidRDefault="00E42330" w:rsidP="00E42330">
      <w:pPr>
        <w:ind w:firstLine="720"/>
        <w:rPr>
          <w:sz w:val="24"/>
          <w:szCs w:val="24"/>
          <w:lang w:val="en-US"/>
        </w:rPr>
      </w:pPr>
      <w:r w:rsidRPr="00C52D6C">
        <w:rPr>
          <w:sz w:val="24"/>
          <w:szCs w:val="24"/>
        </w:rPr>
        <w:t xml:space="preserve">В тази връзка, Комисията ще следи за насърчаването на отворен и конкурентен пазар на труда, като ще обърне по-специално внимание на споразумения между конкуренти на пазара на труда, които могат да възникнат във всеки един сектор на дейност. От изключителна важност е и да се осигури пряка,  ефективна и справедлива конкуренция между работодателите, защото именно пазара на труда пряко или косвено влияе на множество свързани пазари, което от своя страна индиректно е определящо за благосъстоянието на икономиката, насърчаването на иновациите и растежа и е от ключово значение за всички процеси, свързани със справянето с последствията от икономическата криза вследствие на пандемията. </w:t>
      </w:r>
    </w:p>
    <w:p w:rsidR="00E42330" w:rsidRPr="00C52D6C" w:rsidRDefault="00E42330" w:rsidP="00E42330">
      <w:pPr>
        <w:rPr>
          <w:sz w:val="24"/>
          <w:szCs w:val="24"/>
        </w:rPr>
      </w:pPr>
    </w:p>
    <w:p w:rsidR="00E42330" w:rsidRPr="00C52D6C" w:rsidRDefault="00E42330" w:rsidP="00E42330">
      <w:pPr>
        <w:ind w:firstLine="720"/>
        <w:rPr>
          <w:rFonts w:eastAsiaTheme="minorHAnsi"/>
          <w:b/>
          <w:sz w:val="24"/>
          <w:szCs w:val="24"/>
        </w:rPr>
      </w:pPr>
      <w:r w:rsidRPr="00C52D6C">
        <w:rPr>
          <w:rFonts w:eastAsiaTheme="minorHAnsi"/>
          <w:b/>
          <w:sz w:val="24"/>
          <w:szCs w:val="24"/>
          <w:lang w:val="en-US"/>
        </w:rPr>
        <w:t>II</w:t>
      </w:r>
      <w:r w:rsidRPr="00C52D6C">
        <w:rPr>
          <w:rFonts w:eastAsiaTheme="minorHAnsi"/>
          <w:b/>
          <w:sz w:val="24"/>
          <w:szCs w:val="24"/>
        </w:rPr>
        <w:t>. Приоритети в дейността на Комисията за 2023 година при образуване на производствата по Глава дванадесета от ЗЗК</w:t>
      </w:r>
    </w:p>
    <w:p w:rsidR="00E42330" w:rsidRPr="00C52D6C" w:rsidRDefault="00E42330" w:rsidP="00E42330">
      <w:pPr>
        <w:ind w:firstLine="720"/>
        <w:rPr>
          <w:rFonts w:eastAsiaTheme="minorHAnsi"/>
          <w:b/>
          <w:sz w:val="24"/>
          <w:szCs w:val="24"/>
        </w:rPr>
      </w:pPr>
    </w:p>
    <w:p w:rsidR="00E42330" w:rsidRDefault="00E42330" w:rsidP="00E42330">
      <w:pPr>
        <w:ind w:firstLine="720"/>
        <w:rPr>
          <w:sz w:val="24"/>
          <w:szCs w:val="24"/>
        </w:rPr>
      </w:pPr>
      <w:r w:rsidRPr="005717C1">
        <w:rPr>
          <w:sz w:val="24"/>
          <w:szCs w:val="24"/>
        </w:rPr>
        <w:t>Освен обичайните фактори при определяне на приоритетите във връзка с прилагането на забраните в глава VII и глава VII „б“ от ЗЗК, Комисията взема предвид и сложната геополитическа обстановка, която пряко се отразява на световните и национални пазари, особено с високата инфлация. Поради това при прилагането на посочените разпоредби от ЗЗК Комисията извежда следните приоритети:</w:t>
      </w:r>
    </w:p>
    <w:p w:rsidR="00E42330" w:rsidRPr="005717C1" w:rsidRDefault="00E42330" w:rsidP="00E42330">
      <w:pPr>
        <w:ind w:firstLine="720"/>
        <w:rPr>
          <w:sz w:val="24"/>
          <w:szCs w:val="24"/>
        </w:rPr>
      </w:pPr>
    </w:p>
    <w:p w:rsidR="00E42330" w:rsidRDefault="00E42330" w:rsidP="00E42330">
      <w:pPr>
        <w:ind w:firstLine="720"/>
        <w:rPr>
          <w:sz w:val="24"/>
          <w:szCs w:val="24"/>
        </w:rPr>
      </w:pPr>
      <w:r w:rsidRPr="005717C1">
        <w:rPr>
          <w:b/>
          <w:sz w:val="24"/>
          <w:szCs w:val="24"/>
        </w:rPr>
        <w:t>1.</w:t>
      </w:r>
      <w:r>
        <w:rPr>
          <w:b/>
          <w:sz w:val="24"/>
          <w:szCs w:val="24"/>
        </w:rPr>
        <w:t xml:space="preserve">   </w:t>
      </w:r>
      <w:r w:rsidRPr="005717C1">
        <w:rPr>
          <w:sz w:val="24"/>
          <w:szCs w:val="24"/>
        </w:rPr>
        <w:t xml:space="preserve"> Наблюдение на поведението на предприятията при рекламата и </w:t>
      </w:r>
      <w:proofErr w:type="spellStart"/>
      <w:r w:rsidRPr="005717C1">
        <w:rPr>
          <w:sz w:val="24"/>
          <w:szCs w:val="24"/>
        </w:rPr>
        <w:t>промотирането</w:t>
      </w:r>
      <w:proofErr w:type="spellEnd"/>
      <w:r w:rsidRPr="005717C1">
        <w:rPr>
          <w:sz w:val="24"/>
          <w:szCs w:val="24"/>
        </w:rPr>
        <w:t xml:space="preserve"> на стоки и услуги с намалени цени и други условия, които привличат потребителите, особено чувствителни в тази връзка. Комисията ще следи за истинността на рекламните послания и законосъобразността на провежданите промоции, като извършва при необходимост предварителни проучвания, съответно образува производства по собствена инициатива за установяването на евентуални нарушения, засягащи отношенията на конкуренция между предприятията по недобросъвестен начин, а оттам - и интересите на потребителите.</w:t>
      </w:r>
    </w:p>
    <w:p w:rsidR="00E42330" w:rsidRPr="005717C1" w:rsidRDefault="00E42330" w:rsidP="00E42330">
      <w:pPr>
        <w:ind w:firstLine="720"/>
        <w:rPr>
          <w:sz w:val="24"/>
          <w:szCs w:val="24"/>
        </w:rPr>
      </w:pPr>
    </w:p>
    <w:p w:rsidR="00E42330" w:rsidRDefault="00E42330" w:rsidP="00E42330">
      <w:pPr>
        <w:ind w:firstLine="720"/>
        <w:rPr>
          <w:sz w:val="24"/>
          <w:szCs w:val="24"/>
        </w:rPr>
      </w:pPr>
      <w:r w:rsidRPr="005717C1">
        <w:rPr>
          <w:b/>
          <w:sz w:val="24"/>
          <w:szCs w:val="24"/>
        </w:rPr>
        <w:t>2.</w:t>
      </w:r>
      <w:r w:rsidRPr="005717C1">
        <w:rPr>
          <w:sz w:val="24"/>
          <w:szCs w:val="24"/>
        </w:rPr>
        <w:t xml:space="preserve"> </w:t>
      </w:r>
      <w:r>
        <w:rPr>
          <w:sz w:val="24"/>
          <w:szCs w:val="24"/>
        </w:rPr>
        <w:t xml:space="preserve">    </w:t>
      </w:r>
      <w:r w:rsidRPr="005717C1">
        <w:rPr>
          <w:sz w:val="24"/>
          <w:szCs w:val="24"/>
        </w:rPr>
        <w:t xml:space="preserve">Също така приоритетно Комисията ще наблюдава поведението на предприятията във връзка с евентуалното предлагане на стоки и услуги, включително и на хранителни продукти и други стоки от първа необходимост, на цени, под разходите за производство и реализация, както и за други евентуални прояви на недобросъвестно поведение на стопанските субекти в дейността им. </w:t>
      </w:r>
    </w:p>
    <w:p w:rsidR="00E42330" w:rsidRPr="005717C1" w:rsidRDefault="00E42330" w:rsidP="00E42330">
      <w:pPr>
        <w:ind w:firstLine="720"/>
        <w:rPr>
          <w:sz w:val="24"/>
          <w:szCs w:val="24"/>
        </w:rPr>
      </w:pPr>
    </w:p>
    <w:p w:rsidR="00E42330" w:rsidRDefault="00E42330" w:rsidP="00E42330">
      <w:pPr>
        <w:ind w:firstLine="720"/>
        <w:rPr>
          <w:sz w:val="24"/>
          <w:szCs w:val="24"/>
        </w:rPr>
      </w:pPr>
      <w:r w:rsidRPr="005717C1">
        <w:rPr>
          <w:b/>
          <w:sz w:val="24"/>
          <w:szCs w:val="24"/>
        </w:rPr>
        <w:t>3.</w:t>
      </w:r>
      <w:r w:rsidRPr="005717C1">
        <w:rPr>
          <w:sz w:val="24"/>
          <w:szCs w:val="24"/>
        </w:rPr>
        <w:t xml:space="preserve"> </w:t>
      </w:r>
      <w:r>
        <w:rPr>
          <w:sz w:val="24"/>
          <w:szCs w:val="24"/>
        </w:rPr>
        <w:t xml:space="preserve">       </w:t>
      </w:r>
      <w:r w:rsidRPr="005717C1">
        <w:rPr>
          <w:sz w:val="24"/>
          <w:szCs w:val="24"/>
        </w:rPr>
        <w:t>Предвид нарастващото значение на електронната търговия, КЗК активно ще следи поведението на предприятията при осъществяване на онлайн продажбите, с оглед съблюдаване на правилата на лоялната конкуренция и спазване на действащите забрани по Глава Седма от ЗЗК.</w:t>
      </w:r>
    </w:p>
    <w:p w:rsidR="00E42330" w:rsidRPr="005717C1" w:rsidRDefault="00E42330" w:rsidP="00E42330">
      <w:pPr>
        <w:ind w:firstLine="720"/>
        <w:rPr>
          <w:sz w:val="24"/>
          <w:szCs w:val="24"/>
        </w:rPr>
      </w:pPr>
    </w:p>
    <w:p w:rsidR="00E42330" w:rsidRDefault="00E42330" w:rsidP="00E42330">
      <w:pPr>
        <w:ind w:firstLine="720"/>
        <w:rPr>
          <w:sz w:val="24"/>
          <w:szCs w:val="24"/>
        </w:rPr>
      </w:pPr>
      <w:r w:rsidRPr="005717C1">
        <w:rPr>
          <w:b/>
          <w:sz w:val="24"/>
          <w:szCs w:val="24"/>
        </w:rPr>
        <w:t>4.</w:t>
      </w:r>
      <w:r w:rsidRPr="005717C1">
        <w:rPr>
          <w:sz w:val="24"/>
          <w:szCs w:val="24"/>
        </w:rPr>
        <w:t xml:space="preserve"> </w:t>
      </w:r>
      <w:r>
        <w:rPr>
          <w:sz w:val="24"/>
          <w:szCs w:val="24"/>
        </w:rPr>
        <w:t xml:space="preserve">        </w:t>
      </w:r>
      <w:r w:rsidRPr="005717C1">
        <w:rPr>
          <w:sz w:val="24"/>
          <w:szCs w:val="24"/>
        </w:rPr>
        <w:t xml:space="preserve">Във връзка със забраните за нелоялни търговски практики (НТП) по веригата за доставки на селскостопански и хранителни продукти Комисията ще осъществява постоянен мониторинг с цел евентуално установяване на наличието на нелоялни търговски практики в отношенията между купувачи и доставчици на всеки етап на веригата  за доставки на селскостопански и хранителни продукти. </w:t>
      </w:r>
    </w:p>
    <w:p w:rsidR="00E42330" w:rsidRPr="005717C1" w:rsidRDefault="00E42330" w:rsidP="00E42330">
      <w:pPr>
        <w:ind w:firstLine="720"/>
        <w:rPr>
          <w:sz w:val="24"/>
          <w:szCs w:val="24"/>
        </w:rPr>
      </w:pPr>
      <w:r w:rsidRPr="005717C1">
        <w:rPr>
          <w:sz w:val="24"/>
          <w:szCs w:val="24"/>
        </w:rPr>
        <w:t xml:space="preserve">За целта Комисията ще провежда, анкети адресирани към доставчиците на селскостопански и хранителни продукти (фермери, независими производители и предприятия, активни в производството, преработката и дистрибуцията на тези продукти), към организации на производители и доставчици, организации на купувачи и сдружения на такива организации.  </w:t>
      </w:r>
    </w:p>
    <w:p w:rsidR="00E42330" w:rsidRPr="005717C1" w:rsidRDefault="00E42330" w:rsidP="00E42330">
      <w:pPr>
        <w:ind w:firstLine="720"/>
        <w:rPr>
          <w:sz w:val="24"/>
          <w:szCs w:val="24"/>
        </w:rPr>
      </w:pPr>
      <w:r w:rsidRPr="005717C1">
        <w:rPr>
          <w:sz w:val="24"/>
          <w:szCs w:val="24"/>
        </w:rPr>
        <w:t>Един от основните приоритети на Комисията ще е наблюдението на поведението на търговските вериги и други големи предприятия - купувачи на хранителни и селскостопански продукти, по отношения на цените на стоки от първа необходимост, вкл. на пазара на дребно, срокове за плащане и други условия в договорите и отношенията с доставчиците, както и промоциите на тези стоки, с оглед спазването на забраните за НТП и защита интересите на по-малките предприятия – доставчици. В тази връзка ще се разглеждат приоритетно искания, съдържащи твърдения за извършване на посочените нарушения.</w:t>
      </w:r>
    </w:p>
    <w:p w:rsidR="00E42330" w:rsidRPr="005717C1" w:rsidRDefault="00E42330" w:rsidP="00E42330">
      <w:pPr>
        <w:ind w:firstLine="720"/>
        <w:rPr>
          <w:sz w:val="24"/>
          <w:szCs w:val="24"/>
        </w:rPr>
      </w:pPr>
    </w:p>
    <w:p w:rsidR="00E42330" w:rsidRPr="00C52D6C" w:rsidRDefault="00E42330" w:rsidP="00E42330">
      <w:pPr>
        <w:ind w:firstLine="720"/>
        <w:rPr>
          <w:rFonts w:eastAsiaTheme="minorHAnsi"/>
          <w:sz w:val="24"/>
          <w:szCs w:val="24"/>
        </w:rPr>
      </w:pPr>
      <w:r w:rsidRPr="00C52D6C">
        <w:rPr>
          <w:rFonts w:eastAsiaTheme="minorHAnsi"/>
          <w:sz w:val="24"/>
          <w:szCs w:val="24"/>
        </w:rPr>
        <w:lastRenderedPageBreak/>
        <w:t xml:space="preserve">С приемането на така набелязаните годишни приоритети в дейността на Комисията ще се осигури необходимата прозрачност върху кои икономически сектори и/или типове нарушения КЗК ще фокусира своята дейност през настоящата година. По този начин се създават гаранции за по-голяма правна сигурност и реализиране правото на защита за подателите на искания за образуване на производство по реда на ЗЗК, на които е отказано образуване на база критериите за приоритизиране.   </w:t>
      </w:r>
    </w:p>
    <w:p w:rsidR="00DE4B4E" w:rsidRDefault="00BD0055"/>
    <w:p w:rsidR="00324842" w:rsidRDefault="00324842">
      <w:pPr>
        <w:rPr>
          <w:color w:val="000000"/>
          <w:sz w:val="24"/>
          <w:szCs w:val="24"/>
        </w:rPr>
      </w:pPr>
    </w:p>
    <w:p w:rsidR="002B4B98" w:rsidRPr="002B4B98" w:rsidRDefault="002B4B98">
      <w:r>
        <w:rPr>
          <w:color w:val="000000"/>
          <w:sz w:val="24"/>
          <w:szCs w:val="24"/>
        </w:rPr>
        <w:tab/>
        <w:t>Настоящите п</w:t>
      </w:r>
      <w:r w:rsidR="00CA370B">
        <w:rPr>
          <w:color w:val="000000"/>
          <w:sz w:val="24"/>
          <w:szCs w:val="24"/>
        </w:rPr>
        <w:t>риоритети</w:t>
      </w:r>
      <w:r>
        <w:rPr>
          <w:color w:val="000000"/>
          <w:sz w:val="24"/>
          <w:szCs w:val="24"/>
        </w:rPr>
        <w:t xml:space="preserve"> са приети</w:t>
      </w:r>
      <w:r w:rsidR="00CA370B" w:rsidRPr="00CA370B">
        <w:rPr>
          <w:rFonts w:eastAsia="Times New Roman"/>
          <w:b/>
          <w:sz w:val="24"/>
          <w:szCs w:val="24"/>
          <w:lang w:eastAsia="bg-BG"/>
        </w:rPr>
        <w:t xml:space="preserve"> </w:t>
      </w:r>
      <w:r>
        <w:rPr>
          <w:color w:val="000000"/>
          <w:sz w:val="24"/>
          <w:szCs w:val="24"/>
        </w:rPr>
        <w:t xml:space="preserve">с Решение № 101/26.01.2023 г. </w:t>
      </w:r>
      <w:r w:rsidR="00CA370B">
        <w:rPr>
          <w:color w:val="000000"/>
          <w:sz w:val="24"/>
          <w:szCs w:val="24"/>
        </w:rPr>
        <w:t>на</w:t>
      </w:r>
      <w:r w:rsidR="00CA370B">
        <w:rPr>
          <w:color w:val="000000"/>
          <w:sz w:val="24"/>
          <w:szCs w:val="24"/>
          <w:lang w:val="en-US"/>
        </w:rPr>
        <w:t xml:space="preserve"> </w:t>
      </w:r>
      <w:r w:rsidR="00CA370B">
        <w:rPr>
          <w:color w:val="000000"/>
          <w:sz w:val="24"/>
          <w:szCs w:val="24"/>
        </w:rPr>
        <w:t>КЗК</w:t>
      </w:r>
      <w:r w:rsidR="00CA370B" w:rsidRPr="00CA370B">
        <w:rPr>
          <w:rFonts w:eastAsia="Times New Roman"/>
          <w:b/>
          <w:sz w:val="24"/>
          <w:szCs w:val="24"/>
          <w:lang w:eastAsia="bg-BG"/>
        </w:rPr>
        <w:t xml:space="preserve"> </w:t>
      </w:r>
      <w:r w:rsidR="00CA370B">
        <w:rPr>
          <w:color w:val="000000"/>
          <w:sz w:val="24"/>
          <w:szCs w:val="24"/>
        </w:rPr>
        <w:t xml:space="preserve">във връзка с чл.11 от </w:t>
      </w:r>
      <w:r w:rsidR="00CA370B" w:rsidRPr="00C52D6C">
        <w:rPr>
          <w:rFonts w:eastAsia="Times New Roman"/>
          <w:sz w:val="24"/>
          <w:szCs w:val="24"/>
          <w:lang w:eastAsia="bg-BG"/>
        </w:rPr>
        <w:t>Правилата за приоритизиране на искания за образуване на производства  по Глава девета и Глава дванадесета от ЗЗК</w:t>
      </w:r>
      <w:r w:rsidR="00324842">
        <w:rPr>
          <w:rFonts w:eastAsia="Times New Roman"/>
          <w:sz w:val="24"/>
          <w:szCs w:val="24"/>
          <w:lang w:eastAsia="bg-BG"/>
        </w:rPr>
        <w:t>.</w:t>
      </w:r>
    </w:p>
    <w:p w:rsidR="002B4B98" w:rsidRDefault="002B4B98"/>
    <w:p w:rsidR="002B4B98" w:rsidRDefault="002B4B98"/>
    <w:sectPr w:rsidR="002B4B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38" w:rsidRDefault="008F6338" w:rsidP="00B21653">
      <w:r>
        <w:separator/>
      </w:r>
    </w:p>
  </w:endnote>
  <w:endnote w:type="continuationSeparator" w:id="0">
    <w:p w:rsidR="008F6338" w:rsidRDefault="008F6338" w:rsidP="00B2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38" w:rsidRDefault="008F6338" w:rsidP="00B21653">
      <w:r>
        <w:separator/>
      </w:r>
    </w:p>
  </w:footnote>
  <w:footnote w:type="continuationSeparator" w:id="0">
    <w:p w:rsidR="008F6338" w:rsidRDefault="008F6338" w:rsidP="00B2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53" w:rsidRDefault="00B21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62"/>
    <w:rsid w:val="00140002"/>
    <w:rsid w:val="002B4B98"/>
    <w:rsid w:val="00324842"/>
    <w:rsid w:val="005112CA"/>
    <w:rsid w:val="006C61C8"/>
    <w:rsid w:val="008F6338"/>
    <w:rsid w:val="00A81537"/>
    <w:rsid w:val="00B21653"/>
    <w:rsid w:val="00B36D2F"/>
    <w:rsid w:val="00BD0055"/>
    <w:rsid w:val="00CA370B"/>
    <w:rsid w:val="00E42330"/>
    <w:rsid w:val="00F819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C3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30"/>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330"/>
    <w:rPr>
      <w:b/>
      <w:bCs/>
    </w:rPr>
  </w:style>
  <w:style w:type="paragraph" w:styleId="Header">
    <w:name w:val="header"/>
    <w:basedOn w:val="Normal"/>
    <w:link w:val="HeaderChar"/>
    <w:uiPriority w:val="99"/>
    <w:unhideWhenUsed/>
    <w:rsid w:val="00B21653"/>
    <w:pPr>
      <w:tabs>
        <w:tab w:val="center" w:pos="4703"/>
        <w:tab w:val="right" w:pos="9406"/>
      </w:tabs>
    </w:pPr>
  </w:style>
  <w:style w:type="character" w:customStyle="1" w:styleId="HeaderChar">
    <w:name w:val="Header Char"/>
    <w:basedOn w:val="DefaultParagraphFont"/>
    <w:link w:val="Header"/>
    <w:uiPriority w:val="99"/>
    <w:rsid w:val="00B21653"/>
    <w:rPr>
      <w:rFonts w:ascii="Times New Roman" w:eastAsia="Calibri" w:hAnsi="Times New Roman" w:cs="Times New Roman"/>
      <w:sz w:val="26"/>
    </w:rPr>
  </w:style>
  <w:style w:type="paragraph" w:styleId="Footer">
    <w:name w:val="footer"/>
    <w:basedOn w:val="Normal"/>
    <w:link w:val="FooterChar"/>
    <w:uiPriority w:val="99"/>
    <w:unhideWhenUsed/>
    <w:rsid w:val="00B21653"/>
    <w:pPr>
      <w:tabs>
        <w:tab w:val="center" w:pos="4703"/>
        <w:tab w:val="right" w:pos="9406"/>
      </w:tabs>
    </w:pPr>
  </w:style>
  <w:style w:type="character" w:customStyle="1" w:styleId="FooterChar">
    <w:name w:val="Footer Char"/>
    <w:basedOn w:val="DefaultParagraphFont"/>
    <w:link w:val="Footer"/>
    <w:uiPriority w:val="99"/>
    <w:rsid w:val="00B21653"/>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2023-01-31T11:00:00Z</dcterms:created>
  <dcterms:modified xsi:type="dcterms:W3CDTF">2023-01-31T12:15:00Z</dcterms:modified>
</cp:coreProperties>
</file>