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6FD3C" w14:textId="35CEBE2E" w:rsidR="008C4AD2" w:rsidRPr="009A3352" w:rsidRDefault="008C4AD2" w:rsidP="00DB66D9">
      <w:pPr>
        <w:pStyle w:val="Title"/>
        <w:spacing w:after="40" w:line="264" w:lineRule="auto"/>
        <w:jc w:val="center"/>
        <w:rPr>
          <w:b/>
          <w:bCs w:val="0"/>
          <w:color w:val="2E74B5" w:themeColor="accent1" w:themeShade="BF"/>
          <w:sz w:val="32"/>
          <w:u w:val="single"/>
          <w:lang w:val="bg-BG"/>
        </w:rPr>
      </w:pPr>
      <w:r w:rsidRPr="009A3352">
        <w:rPr>
          <w:rStyle w:val="Strong"/>
          <w:noProof/>
          <w:color w:val="2E74B5" w:themeColor="accent1" w:themeShade="BF"/>
          <w:u w:val="single"/>
          <w:lang w:val="bg-BG" w:eastAsia="bg-BG"/>
        </w:rPr>
        <w:drawing>
          <wp:inline distT="0" distB="0" distL="0" distR="0" wp14:anchorId="6A687224" wp14:editId="43EFBE7F">
            <wp:extent cx="67627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6275" cy="561975"/>
                    </a:xfrm>
                    <a:prstGeom prst="rect">
                      <a:avLst/>
                    </a:prstGeom>
                  </pic:spPr>
                </pic:pic>
              </a:graphicData>
            </a:graphic>
          </wp:inline>
        </w:drawing>
      </w:r>
      <w:r w:rsidRPr="009A3352">
        <w:rPr>
          <w:b/>
          <w:bCs w:val="0"/>
          <w:color w:val="2E74B5" w:themeColor="accent1" w:themeShade="BF"/>
          <w:sz w:val="32"/>
          <w:u w:val="single"/>
          <w:lang w:val="bg-BG"/>
        </w:rPr>
        <w:t xml:space="preserve">  КОМИ</w:t>
      </w:r>
      <w:r w:rsidR="00182EA5">
        <w:rPr>
          <w:b/>
          <w:bCs w:val="0"/>
          <w:color w:val="2E74B5" w:themeColor="accent1" w:themeShade="BF"/>
          <w:sz w:val="32"/>
          <w:u w:val="single"/>
          <w:lang w:val="bg-BG"/>
        </w:rPr>
        <w:t xml:space="preserve"> </w:t>
      </w:r>
      <w:r w:rsidRPr="009A3352">
        <w:rPr>
          <w:b/>
          <w:bCs w:val="0"/>
          <w:color w:val="2E74B5" w:themeColor="accent1" w:themeShade="BF"/>
          <w:sz w:val="32"/>
          <w:u w:val="single"/>
          <w:lang w:val="bg-BG"/>
        </w:rPr>
        <w:t>СИЯ ЗА ЗАЩИТА НА КОНКУРЕНЦИЯТА</w:t>
      </w:r>
    </w:p>
    <w:p w14:paraId="65091A6F" w14:textId="00D550AC" w:rsidR="00132E43" w:rsidRDefault="00132E43" w:rsidP="00DB66D9">
      <w:pPr>
        <w:pStyle w:val="Title"/>
        <w:spacing w:after="40" w:line="264" w:lineRule="auto"/>
        <w:rPr>
          <w:b/>
          <w:bCs w:val="0"/>
          <w:color w:val="auto"/>
          <w:sz w:val="32"/>
        </w:rPr>
      </w:pPr>
    </w:p>
    <w:p w14:paraId="2947F283" w14:textId="77777777" w:rsidR="008C4AD2" w:rsidRDefault="001257B1" w:rsidP="00DB66D9">
      <w:pPr>
        <w:pStyle w:val="Title"/>
        <w:spacing w:after="40" w:line="264" w:lineRule="auto"/>
        <w:jc w:val="center"/>
        <w:rPr>
          <w:b/>
          <w:bCs w:val="0"/>
          <w:color w:val="auto"/>
          <w:sz w:val="32"/>
        </w:rPr>
      </w:pPr>
      <w:r w:rsidRPr="001257B1">
        <w:rPr>
          <w:b/>
          <w:bCs w:val="0"/>
          <w:color w:val="auto"/>
          <w:sz w:val="32"/>
        </w:rPr>
        <w:t xml:space="preserve">ОТЧЕТ </w:t>
      </w:r>
    </w:p>
    <w:p w14:paraId="482F4B6E" w14:textId="77777777" w:rsidR="001257B1" w:rsidRPr="008C4AD2" w:rsidRDefault="001257B1" w:rsidP="00DB66D9">
      <w:pPr>
        <w:pStyle w:val="Title"/>
        <w:spacing w:after="40" w:line="264" w:lineRule="auto"/>
        <w:jc w:val="center"/>
        <w:rPr>
          <w:b/>
          <w:bCs w:val="0"/>
          <w:color w:val="auto"/>
          <w:sz w:val="32"/>
          <w:lang w:val="bg-BG"/>
        </w:rPr>
      </w:pPr>
      <w:r w:rsidRPr="001257B1">
        <w:rPr>
          <w:b/>
          <w:bCs w:val="0"/>
          <w:color w:val="auto"/>
          <w:sz w:val="32"/>
        </w:rPr>
        <w:t>ЗА ИЗПЪЛНЕНИЕТО НА</w:t>
      </w:r>
      <w:r w:rsidRPr="001257B1">
        <w:rPr>
          <w:b/>
          <w:bCs w:val="0"/>
          <w:color w:val="auto"/>
          <w:sz w:val="32"/>
          <w:lang w:val="en-US"/>
        </w:rPr>
        <w:t xml:space="preserve"> </w:t>
      </w:r>
      <w:r w:rsidRPr="001257B1">
        <w:rPr>
          <w:b/>
          <w:bCs w:val="0"/>
          <w:color w:val="auto"/>
          <w:sz w:val="32"/>
        </w:rPr>
        <w:t>ПРОГРАМ</w:t>
      </w:r>
      <w:r w:rsidRPr="001257B1">
        <w:rPr>
          <w:b/>
          <w:bCs w:val="0"/>
          <w:color w:val="auto"/>
          <w:sz w:val="32"/>
          <w:lang w:val="bg-BG"/>
        </w:rPr>
        <w:t xml:space="preserve">НИЯ БЮДЖЕТ </w:t>
      </w:r>
      <w:r w:rsidR="008C4AD2">
        <w:rPr>
          <w:b/>
          <w:bCs w:val="0"/>
          <w:color w:val="auto"/>
          <w:sz w:val="32"/>
          <w:lang w:val="bg-BG"/>
        </w:rPr>
        <w:t xml:space="preserve"> НА </w:t>
      </w:r>
      <w:r w:rsidRPr="001257B1">
        <w:rPr>
          <w:b/>
          <w:bCs w:val="0"/>
          <w:color w:val="auto"/>
          <w:sz w:val="32"/>
          <w:lang w:val="bg-BG"/>
        </w:rPr>
        <w:t xml:space="preserve">КОМИСИЯ ЗА ЗАЩИТА НА КОНКУРЕНЦИЯТА </w:t>
      </w:r>
    </w:p>
    <w:p w14:paraId="596D8B82" w14:textId="03D309E7" w:rsidR="001257B1" w:rsidRPr="001257B1" w:rsidRDefault="001257B1" w:rsidP="00DB66D9">
      <w:pPr>
        <w:pStyle w:val="Title"/>
        <w:spacing w:after="40" w:line="264" w:lineRule="auto"/>
        <w:jc w:val="center"/>
        <w:rPr>
          <w:b/>
          <w:bCs w:val="0"/>
          <w:color w:val="auto"/>
          <w:sz w:val="32"/>
        </w:rPr>
      </w:pPr>
      <w:r w:rsidRPr="001257B1">
        <w:rPr>
          <w:b/>
          <w:bCs w:val="0"/>
          <w:color w:val="auto"/>
          <w:sz w:val="32"/>
        </w:rPr>
        <w:t xml:space="preserve"> </w:t>
      </w:r>
      <w:r w:rsidR="00A210E1">
        <w:rPr>
          <w:b/>
          <w:bCs w:val="0"/>
          <w:color w:val="auto"/>
          <w:sz w:val="32"/>
          <w:lang w:val="bg-BG"/>
        </w:rPr>
        <w:t xml:space="preserve">ЗА ПЪРВОТО ПОЛУГОДИЕ НА </w:t>
      </w:r>
      <w:r w:rsidRPr="001257B1">
        <w:rPr>
          <w:b/>
          <w:bCs w:val="0"/>
          <w:color w:val="auto"/>
          <w:sz w:val="32"/>
        </w:rPr>
        <w:t>20</w:t>
      </w:r>
      <w:r w:rsidR="005323E4">
        <w:rPr>
          <w:b/>
          <w:bCs w:val="0"/>
          <w:color w:val="auto"/>
          <w:sz w:val="32"/>
          <w:lang w:val="bg-BG"/>
        </w:rPr>
        <w:t>2</w:t>
      </w:r>
      <w:r w:rsidR="00C102BF">
        <w:rPr>
          <w:b/>
          <w:bCs w:val="0"/>
          <w:color w:val="auto"/>
          <w:sz w:val="32"/>
          <w:lang w:val="en-US"/>
        </w:rPr>
        <w:t>5</w:t>
      </w:r>
      <w:r w:rsidRPr="001257B1">
        <w:rPr>
          <w:b/>
          <w:bCs w:val="0"/>
          <w:color w:val="auto"/>
          <w:sz w:val="32"/>
        </w:rPr>
        <w:t xml:space="preserve"> г.</w:t>
      </w:r>
    </w:p>
    <w:p w14:paraId="5A8DDE2E" w14:textId="77777777" w:rsidR="001257B1" w:rsidRPr="00EC7480" w:rsidRDefault="001257B1" w:rsidP="00DB66D9">
      <w:pPr>
        <w:spacing w:after="40" w:line="264" w:lineRule="auto"/>
        <w:rPr>
          <w:sz w:val="32"/>
          <w:szCs w:val="32"/>
        </w:rPr>
      </w:pPr>
    </w:p>
    <w:p w14:paraId="0F917064" w14:textId="77777777" w:rsidR="00BC3069" w:rsidRPr="00EC7480" w:rsidRDefault="00BC3069" w:rsidP="00DB66D9">
      <w:pPr>
        <w:pStyle w:val="BodyText"/>
        <w:widowControl w:val="0"/>
        <w:tabs>
          <w:tab w:val="left" w:pos="8931"/>
          <w:tab w:val="left" w:pos="9214"/>
          <w:tab w:val="left" w:pos="9356"/>
        </w:tabs>
        <w:spacing w:after="40" w:line="264" w:lineRule="auto"/>
        <w:rPr>
          <w:b/>
          <w:sz w:val="24"/>
          <w:lang w:val="bg-BG"/>
        </w:rPr>
      </w:pPr>
      <w:r w:rsidRPr="00EC7480">
        <w:rPr>
          <w:b/>
          <w:sz w:val="24"/>
          <w:lang w:val="bg-BG"/>
        </w:rPr>
        <w:t>І</w:t>
      </w:r>
      <w:r w:rsidR="00177A51" w:rsidRPr="00EC7480">
        <w:rPr>
          <w:b/>
          <w:sz w:val="24"/>
          <w:lang w:val="bg-BG"/>
        </w:rPr>
        <w:t xml:space="preserve">. </w:t>
      </w:r>
      <w:r w:rsidR="00645346" w:rsidRPr="00EC7480">
        <w:rPr>
          <w:b/>
          <w:sz w:val="24"/>
          <w:lang w:val="bg-BG"/>
        </w:rPr>
        <w:t>ОБЩИ ПОЛОЖЕНИЯ</w:t>
      </w:r>
    </w:p>
    <w:p w14:paraId="59917276" w14:textId="77777777" w:rsidR="00177A51" w:rsidRPr="00EC7480" w:rsidRDefault="00177A51" w:rsidP="00DB66D9">
      <w:pPr>
        <w:pStyle w:val="BodyText"/>
        <w:widowControl w:val="0"/>
        <w:tabs>
          <w:tab w:val="left" w:pos="8931"/>
          <w:tab w:val="left" w:pos="9214"/>
          <w:tab w:val="left" w:pos="9356"/>
        </w:tabs>
        <w:spacing w:after="40" w:line="264" w:lineRule="auto"/>
        <w:rPr>
          <w:sz w:val="24"/>
        </w:rPr>
      </w:pPr>
    </w:p>
    <w:p w14:paraId="3BE0F34E" w14:textId="77777777" w:rsidR="008A5A19" w:rsidRPr="00EC7480" w:rsidRDefault="008A5A19" w:rsidP="00591A8F">
      <w:pPr>
        <w:spacing w:after="40" w:line="264" w:lineRule="auto"/>
        <w:ind w:firstLine="709"/>
        <w:jc w:val="both"/>
        <w:rPr>
          <w:rFonts w:ascii="Times New Roman" w:hAnsi="Times New Roman" w:cs="Times New Roman"/>
          <w:sz w:val="24"/>
          <w:szCs w:val="24"/>
        </w:rPr>
      </w:pPr>
      <w:r w:rsidRPr="00EC7480">
        <w:rPr>
          <w:rFonts w:ascii="Times New Roman" w:hAnsi="Times New Roman" w:cs="Times New Roman"/>
          <w:sz w:val="24"/>
          <w:szCs w:val="24"/>
        </w:rPr>
        <w:t>Комисия за защита на конкуренцията е независим специализиран държавен орган, чийто правомощия са уредени в Закона за защита на конкуренцията (ЗЗК), Закона за обществените поръчки (ЗОП) и Закона за концесиите (ЗК).</w:t>
      </w:r>
    </w:p>
    <w:p w14:paraId="3FE2DA64" w14:textId="4A5B968D" w:rsidR="00177A51" w:rsidRPr="005D78C4" w:rsidRDefault="00177A51" w:rsidP="00591A8F">
      <w:pPr>
        <w:spacing w:after="40" w:line="264" w:lineRule="auto"/>
        <w:ind w:firstLine="709"/>
        <w:jc w:val="both"/>
        <w:rPr>
          <w:rFonts w:ascii="Times New Roman" w:hAnsi="Times New Roman" w:cs="Times New Roman"/>
          <w:sz w:val="24"/>
          <w:szCs w:val="24"/>
        </w:rPr>
      </w:pPr>
      <w:r w:rsidRPr="00EC7480">
        <w:rPr>
          <w:rFonts w:ascii="Times New Roman" w:hAnsi="Times New Roman" w:cs="Times New Roman"/>
          <w:sz w:val="24"/>
          <w:szCs w:val="24"/>
        </w:rPr>
        <w:t>От своето създаване през 1991 г</w:t>
      </w:r>
      <w:r w:rsidR="004B1CAF">
        <w:rPr>
          <w:rFonts w:ascii="Times New Roman" w:hAnsi="Times New Roman" w:cs="Times New Roman"/>
          <w:sz w:val="24"/>
          <w:szCs w:val="24"/>
        </w:rPr>
        <w:t>.</w:t>
      </w:r>
      <w:r w:rsidRPr="00EC7480">
        <w:rPr>
          <w:rFonts w:ascii="Times New Roman" w:hAnsi="Times New Roman" w:cs="Times New Roman"/>
          <w:sz w:val="24"/>
          <w:szCs w:val="24"/>
        </w:rPr>
        <w:t xml:space="preserve"> до настоящия момент националният орган </w:t>
      </w:r>
      <w:r w:rsidRPr="00872F84">
        <w:rPr>
          <w:rFonts w:ascii="Times New Roman" w:hAnsi="Times New Roman" w:cs="Times New Roman"/>
          <w:sz w:val="24"/>
          <w:szCs w:val="24"/>
        </w:rPr>
        <w:t xml:space="preserve">по конкуренция изпълнява своята мисия да гарантира разширяването на ефективната конкуренция и да </w:t>
      </w:r>
      <w:r w:rsidRPr="005D78C4">
        <w:rPr>
          <w:rFonts w:ascii="Times New Roman" w:hAnsi="Times New Roman" w:cs="Times New Roman"/>
          <w:sz w:val="24"/>
          <w:szCs w:val="24"/>
        </w:rPr>
        <w:t xml:space="preserve">стимулира развитието на свободната стопанска инициатива на пазарите в страната. </w:t>
      </w:r>
    </w:p>
    <w:p w14:paraId="7CE10D1C" w14:textId="77777777" w:rsidR="00177A51" w:rsidRPr="005D78C4" w:rsidRDefault="00177A51" w:rsidP="00591A8F">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 xml:space="preserve">Като независим държавен орган на КЗК са възложени обществено значими функции, свързани с осъществяване на контрол върху пазарните процеси, върху отношенията между пазарните участници и върху поведението на пазара както на малките предприятия, така и на компаниите и икономическите групи, заемащи съществен дял от съответния пазар. </w:t>
      </w:r>
    </w:p>
    <w:p w14:paraId="60C0E2C1" w14:textId="77777777" w:rsidR="00177A51" w:rsidRPr="005D78C4" w:rsidRDefault="00177A51" w:rsidP="00591A8F">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Пълноправното членство на България в ЕС допълнително изисква Комисия за защита на конкуренцията да участва активно в прилагането на правилата по конкуренция на Съюза в сътрудничество с Европейската комисия и националните органи по конкуренция на страните членки. Ролята, която изпълнява КЗК като национален орган по конкуренция в държава от Европейския съюз, привлича вниманието на обществото към дейността й, като очакванията към Комисията са да гарантира непротиворечивото прилагане на националните и общностните правила по конкуренция и по този начин ефективно да бъде прекратено и предотвратено нарушаването на тези правила.</w:t>
      </w:r>
    </w:p>
    <w:p w14:paraId="62C8026B" w14:textId="548AC053" w:rsidR="008A5A19" w:rsidRPr="005D78C4" w:rsidRDefault="008A5A19" w:rsidP="006835B1">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В изпълнение на правомощията си по ЗЗК, Комисията приема решения, с които установява наличието или липсата на нарушения, представляващи злоупотреба с монополно или господстващо положение, забранени споразумения или съгласувани практики и нелоялна конкуренция. Тя осъществява и контрол върху концентрациите между предприятията, като може да разреши, включително и под условие, или да забрани осъществяването й. Част от функциите на Комисията са и изготвянето на секторни анализи и осъществяването на застъпничество за конкуренцията, като предлага на компетентните органи на изпълнителната власт и на местното самоуправление да отменят или изменят нормативни актове, издадени в нарушение на правилата на конкуренцията. Проектите на нормативни актове, които предстои да бъдат приети по съответния ред, са обект на анализ за съответствието им със ЗЗК, за което Комисията приема становища.</w:t>
      </w:r>
    </w:p>
    <w:p w14:paraId="2E11A9D3" w14:textId="099D5476" w:rsidR="008A5A19" w:rsidRPr="005D78C4" w:rsidRDefault="008A5A19" w:rsidP="00591A8F">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 xml:space="preserve">КЗК е органът, пред който се обжалват относно тяхната законосъобразност и всички актове, действия или бездействия на възложители и концеденти в процедури за възлагане на обществени поръчки или предоставяне на концесии. Съгласно </w:t>
      </w:r>
      <w:r w:rsidR="001B64D2" w:rsidRPr="005D78C4">
        <w:rPr>
          <w:rFonts w:ascii="Times New Roman" w:hAnsi="Times New Roman" w:cs="Times New Roman"/>
          <w:sz w:val="24"/>
          <w:szCs w:val="24"/>
        </w:rPr>
        <w:t>ЗОП</w:t>
      </w:r>
      <w:r w:rsidRPr="005D78C4">
        <w:rPr>
          <w:rFonts w:ascii="Times New Roman" w:hAnsi="Times New Roman" w:cs="Times New Roman"/>
          <w:sz w:val="24"/>
          <w:szCs w:val="24"/>
        </w:rPr>
        <w:t xml:space="preserve"> и </w:t>
      </w:r>
      <w:r w:rsidR="001B64D2" w:rsidRPr="005D78C4">
        <w:rPr>
          <w:rFonts w:ascii="Times New Roman" w:hAnsi="Times New Roman" w:cs="Times New Roman"/>
          <w:sz w:val="24"/>
          <w:szCs w:val="24"/>
        </w:rPr>
        <w:t>ЗК</w:t>
      </w:r>
      <w:r w:rsidRPr="005D78C4">
        <w:rPr>
          <w:rFonts w:ascii="Times New Roman" w:hAnsi="Times New Roman" w:cs="Times New Roman"/>
          <w:sz w:val="24"/>
          <w:szCs w:val="24"/>
        </w:rPr>
        <w:t xml:space="preserve">, </w:t>
      </w:r>
      <w:r w:rsidRPr="005D78C4">
        <w:rPr>
          <w:rFonts w:ascii="Times New Roman" w:hAnsi="Times New Roman" w:cs="Times New Roman"/>
          <w:sz w:val="24"/>
          <w:szCs w:val="24"/>
        </w:rPr>
        <w:lastRenderedPageBreak/>
        <w:t>КЗК може да спре процедура по възлагане на обществена поръчка, съответно по предоставяне на концесия, да разреши предварително изпълнение на решения за избор на изпълнител, при наличието на посочени в законите условия, както и да наложи имуществени санкции и глоби в предвидените от закона случаи.</w:t>
      </w:r>
    </w:p>
    <w:p w14:paraId="5BC7429A" w14:textId="067DD6AE" w:rsidR="00991909" w:rsidRPr="005D78C4" w:rsidRDefault="008A5A19" w:rsidP="00591A8F">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 xml:space="preserve">Чрез отговорния подход при осъществяването на своята дейност Комисията доказва, че има необходимия капацитет и опит да разрешава проблемите при функционирането на  пазарната икономика. </w:t>
      </w:r>
    </w:p>
    <w:p w14:paraId="27163E0E" w14:textId="77777777" w:rsidR="00991909" w:rsidRPr="005D78C4" w:rsidRDefault="00991909" w:rsidP="00DB66D9">
      <w:pPr>
        <w:spacing w:after="40" w:line="264" w:lineRule="auto"/>
        <w:ind w:firstLine="709"/>
        <w:jc w:val="both"/>
        <w:rPr>
          <w:rFonts w:ascii="Times New Roman" w:hAnsi="Times New Roman" w:cs="Times New Roman"/>
          <w:sz w:val="24"/>
          <w:szCs w:val="24"/>
        </w:rPr>
      </w:pPr>
    </w:p>
    <w:p w14:paraId="3AC30B52" w14:textId="5DFCBACF" w:rsidR="00451EC5" w:rsidRPr="005D78C4" w:rsidRDefault="00BC3069" w:rsidP="00DB66D9">
      <w:pPr>
        <w:pStyle w:val="BodyText"/>
        <w:widowControl w:val="0"/>
        <w:spacing w:after="40" w:line="264" w:lineRule="auto"/>
        <w:rPr>
          <w:b/>
          <w:sz w:val="24"/>
          <w:lang w:val="bg-BG"/>
        </w:rPr>
      </w:pPr>
      <w:r w:rsidRPr="005D78C4">
        <w:rPr>
          <w:b/>
          <w:sz w:val="24"/>
          <w:lang w:val="bg-BG"/>
        </w:rPr>
        <w:t>ІІ</w:t>
      </w:r>
      <w:r w:rsidR="00451EC5" w:rsidRPr="005D78C4">
        <w:rPr>
          <w:b/>
          <w:sz w:val="24"/>
          <w:lang w:val="bg-BG"/>
        </w:rPr>
        <w:t xml:space="preserve">. ОТЧЕТ НА ОСНОВНИТЕ ПАРАМЕТРИ НА БЮДЖЕТА КЪМ </w:t>
      </w:r>
      <w:r w:rsidR="00451EC5" w:rsidRPr="005D78C4">
        <w:rPr>
          <w:b/>
          <w:sz w:val="24"/>
        </w:rPr>
        <w:t>30</w:t>
      </w:r>
      <w:r w:rsidR="00451EC5" w:rsidRPr="005D78C4">
        <w:rPr>
          <w:b/>
          <w:sz w:val="24"/>
          <w:lang w:val="bg-BG"/>
        </w:rPr>
        <w:t>.</w:t>
      </w:r>
      <w:r w:rsidR="00451EC5" w:rsidRPr="005D78C4">
        <w:rPr>
          <w:b/>
          <w:sz w:val="24"/>
        </w:rPr>
        <w:t>06</w:t>
      </w:r>
      <w:r w:rsidR="003308E2" w:rsidRPr="005D78C4">
        <w:rPr>
          <w:b/>
          <w:sz w:val="24"/>
          <w:lang w:val="bg-BG"/>
        </w:rPr>
        <w:t>.202</w:t>
      </w:r>
      <w:r w:rsidR="00C102BF" w:rsidRPr="005D78C4">
        <w:rPr>
          <w:b/>
          <w:sz w:val="24"/>
        </w:rPr>
        <w:t>5</w:t>
      </w:r>
      <w:r w:rsidR="00451EC5" w:rsidRPr="005D78C4">
        <w:rPr>
          <w:b/>
          <w:sz w:val="24"/>
          <w:lang w:val="bg-BG"/>
        </w:rPr>
        <w:t xml:space="preserve"> г. </w:t>
      </w:r>
    </w:p>
    <w:p w14:paraId="679620AE" w14:textId="77777777" w:rsidR="00451EC5" w:rsidRPr="005D78C4" w:rsidRDefault="00451EC5" w:rsidP="00DB66D9">
      <w:pPr>
        <w:widowControl w:val="0"/>
        <w:spacing w:after="40" w:line="264" w:lineRule="auto"/>
        <w:jc w:val="both"/>
        <w:rPr>
          <w:rFonts w:ascii="Times New Roman" w:eastAsia="Times New Roman" w:hAnsi="Times New Roman" w:cs="Times New Roman"/>
          <w:b/>
          <w:sz w:val="24"/>
          <w:szCs w:val="24"/>
        </w:rPr>
      </w:pPr>
    </w:p>
    <w:p w14:paraId="4A3ED920" w14:textId="569B3DD1" w:rsidR="00451EC5" w:rsidRPr="005D78C4" w:rsidRDefault="00451EC5" w:rsidP="00DB66D9">
      <w:pPr>
        <w:widowControl w:val="0"/>
        <w:numPr>
          <w:ilvl w:val="0"/>
          <w:numId w:val="1"/>
        </w:numPr>
        <w:spacing w:after="40" w:line="264" w:lineRule="auto"/>
        <w:jc w:val="both"/>
        <w:rPr>
          <w:rFonts w:ascii="Times New Roman" w:eastAsia="Times New Roman" w:hAnsi="Times New Roman" w:cs="Times New Roman"/>
          <w:b/>
          <w:sz w:val="24"/>
          <w:szCs w:val="24"/>
          <w:lang w:val="ru-RU"/>
        </w:rPr>
      </w:pPr>
      <w:r w:rsidRPr="005D78C4">
        <w:rPr>
          <w:rFonts w:ascii="Times New Roman" w:eastAsia="Times New Roman" w:hAnsi="Times New Roman" w:cs="Times New Roman"/>
          <w:b/>
          <w:sz w:val="24"/>
          <w:szCs w:val="24"/>
          <w:lang w:val="ru-RU"/>
        </w:rPr>
        <w:t>Отчет на приходите</w:t>
      </w:r>
    </w:p>
    <w:p w14:paraId="681C8B78" w14:textId="21F4D24A" w:rsidR="00451EC5" w:rsidRPr="005D78C4" w:rsidRDefault="00451EC5" w:rsidP="00C33ABA">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Със Закона за държавния бюджет на Република България за 202</w:t>
      </w:r>
      <w:r w:rsidR="00C102BF" w:rsidRPr="005D78C4">
        <w:rPr>
          <w:rFonts w:ascii="Times New Roman" w:hAnsi="Times New Roman" w:cs="Times New Roman"/>
          <w:sz w:val="24"/>
          <w:szCs w:val="24"/>
          <w:lang w:val="en-US"/>
        </w:rPr>
        <w:t>5</w:t>
      </w:r>
      <w:r w:rsidRPr="005D78C4">
        <w:rPr>
          <w:rFonts w:ascii="Times New Roman" w:hAnsi="Times New Roman" w:cs="Times New Roman"/>
          <w:sz w:val="24"/>
          <w:szCs w:val="24"/>
        </w:rPr>
        <w:t xml:space="preserve"> г. (обн. ДВ, бр. </w:t>
      </w:r>
      <w:r w:rsidR="00C102BF" w:rsidRPr="005D78C4">
        <w:rPr>
          <w:rFonts w:ascii="Times New Roman" w:hAnsi="Times New Roman" w:cs="Times New Roman"/>
          <w:sz w:val="24"/>
          <w:szCs w:val="24"/>
          <w:lang w:val="en-US"/>
        </w:rPr>
        <w:t>26</w:t>
      </w:r>
      <w:r w:rsidRPr="005D78C4">
        <w:rPr>
          <w:rFonts w:ascii="Times New Roman" w:hAnsi="Times New Roman" w:cs="Times New Roman"/>
          <w:sz w:val="24"/>
          <w:szCs w:val="24"/>
        </w:rPr>
        <w:t xml:space="preserve"> от </w:t>
      </w:r>
      <w:r w:rsidR="00C102BF" w:rsidRPr="005D78C4">
        <w:rPr>
          <w:rFonts w:ascii="Times New Roman" w:hAnsi="Times New Roman" w:cs="Times New Roman"/>
          <w:sz w:val="24"/>
          <w:szCs w:val="24"/>
          <w:lang w:val="en-US"/>
        </w:rPr>
        <w:t>27</w:t>
      </w:r>
      <w:r w:rsidRPr="005D78C4">
        <w:rPr>
          <w:rFonts w:ascii="Times New Roman" w:hAnsi="Times New Roman" w:cs="Times New Roman"/>
          <w:sz w:val="24"/>
          <w:szCs w:val="24"/>
        </w:rPr>
        <w:t>.</w:t>
      </w:r>
      <w:r w:rsidR="00C102BF" w:rsidRPr="005D78C4">
        <w:rPr>
          <w:rFonts w:ascii="Times New Roman" w:hAnsi="Times New Roman" w:cs="Times New Roman"/>
          <w:sz w:val="24"/>
          <w:szCs w:val="24"/>
          <w:lang w:val="en-US"/>
        </w:rPr>
        <w:t>03</w:t>
      </w:r>
      <w:r w:rsidRPr="005D78C4">
        <w:rPr>
          <w:rFonts w:ascii="Times New Roman" w:hAnsi="Times New Roman" w:cs="Times New Roman"/>
          <w:sz w:val="24"/>
          <w:szCs w:val="24"/>
        </w:rPr>
        <w:t>.202</w:t>
      </w:r>
      <w:r w:rsidR="00C102BF" w:rsidRPr="005D78C4">
        <w:rPr>
          <w:rFonts w:ascii="Times New Roman" w:hAnsi="Times New Roman" w:cs="Times New Roman"/>
          <w:sz w:val="24"/>
          <w:szCs w:val="24"/>
          <w:lang w:val="en-US"/>
        </w:rPr>
        <w:t>5</w:t>
      </w:r>
      <w:r w:rsidRPr="005D78C4">
        <w:rPr>
          <w:rFonts w:ascii="Times New Roman" w:hAnsi="Times New Roman" w:cs="Times New Roman"/>
          <w:sz w:val="24"/>
          <w:szCs w:val="24"/>
        </w:rPr>
        <w:t xml:space="preserve"> г.</w:t>
      </w:r>
      <w:r w:rsidR="003308E2" w:rsidRPr="005D78C4">
        <w:rPr>
          <w:rFonts w:ascii="Times New Roman" w:hAnsi="Times New Roman" w:cs="Times New Roman"/>
          <w:sz w:val="24"/>
          <w:szCs w:val="24"/>
        </w:rPr>
        <w:t>, в сила от 01.01.202</w:t>
      </w:r>
      <w:r w:rsidR="00C102BF" w:rsidRPr="005D78C4">
        <w:rPr>
          <w:rFonts w:ascii="Times New Roman" w:hAnsi="Times New Roman" w:cs="Times New Roman"/>
          <w:sz w:val="24"/>
          <w:szCs w:val="24"/>
        </w:rPr>
        <w:t>5</w:t>
      </w:r>
      <w:r w:rsidR="003308E2" w:rsidRPr="005D78C4">
        <w:rPr>
          <w:rFonts w:ascii="Times New Roman" w:hAnsi="Times New Roman" w:cs="Times New Roman"/>
          <w:sz w:val="24"/>
          <w:szCs w:val="24"/>
        </w:rPr>
        <w:t xml:space="preserve"> г.</w:t>
      </w:r>
      <w:r w:rsidRPr="005D78C4">
        <w:rPr>
          <w:rFonts w:ascii="Times New Roman" w:hAnsi="Times New Roman" w:cs="Times New Roman"/>
          <w:sz w:val="24"/>
          <w:szCs w:val="24"/>
        </w:rPr>
        <w:t>)</w:t>
      </w:r>
      <w:r w:rsidRPr="005D78C4">
        <w:rPr>
          <w:rFonts w:ascii="Times New Roman" w:hAnsi="Times New Roman" w:cs="Times New Roman"/>
          <w:sz w:val="24"/>
          <w:szCs w:val="24"/>
          <w:lang w:val="en-US"/>
        </w:rPr>
        <w:t xml:space="preserve"> </w:t>
      </w:r>
      <w:r w:rsidRPr="005D78C4">
        <w:rPr>
          <w:rFonts w:ascii="Times New Roman" w:hAnsi="Times New Roman" w:cs="Times New Roman"/>
          <w:sz w:val="24"/>
          <w:szCs w:val="24"/>
        </w:rPr>
        <w:t xml:space="preserve">по бюджета на Комисия за защита на конкуренцията са утвърдени приходи в размер на </w:t>
      </w:r>
      <w:r w:rsidR="000327F9" w:rsidRPr="005D78C4">
        <w:rPr>
          <w:rFonts w:ascii="Times New Roman" w:hAnsi="Times New Roman" w:cs="Times New Roman"/>
          <w:sz w:val="24"/>
          <w:szCs w:val="24"/>
        </w:rPr>
        <w:t>7</w:t>
      </w:r>
      <w:r w:rsidRPr="005D78C4">
        <w:rPr>
          <w:rFonts w:ascii="Times New Roman" w:hAnsi="Times New Roman" w:cs="Times New Roman"/>
          <w:sz w:val="24"/>
          <w:szCs w:val="24"/>
        </w:rPr>
        <w:t xml:space="preserve"> </w:t>
      </w:r>
      <w:r w:rsidR="00C102BF" w:rsidRPr="005D78C4">
        <w:rPr>
          <w:rFonts w:ascii="Times New Roman" w:hAnsi="Times New Roman" w:cs="Times New Roman"/>
          <w:sz w:val="24"/>
          <w:szCs w:val="24"/>
          <w:lang w:val="en-US"/>
        </w:rPr>
        <w:t>2</w:t>
      </w:r>
      <w:r w:rsidRPr="005D78C4">
        <w:rPr>
          <w:rFonts w:ascii="Times New Roman" w:hAnsi="Times New Roman" w:cs="Times New Roman"/>
          <w:sz w:val="24"/>
          <w:szCs w:val="24"/>
        </w:rPr>
        <w:t xml:space="preserve">00 000 лв. </w:t>
      </w:r>
    </w:p>
    <w:p w14:paraId="4A1DB6F0" w14:textId="09F7AFE6" w:rsidR="001B64D2" w:rsidRPr="005D78C4" w:rsidRDefault="00451EC5" w:rsidP="00C33ABA">
      <w:pPr>
        <w:shd w:val="clear" w:color="auto" w:fill="FFFFFF"/>
        <w:spacing w:after="40" w:line="264" w:lineRule="auto"/>
        <w:ind w:right="11" w:firstLine="709"/>
        <w:jc w:val="both"/>
        <w:rPr>
          <w:rFonts w:ascii="Times New Roman" w:hAnsi="Times New Roman" w:cs="Times New Roman"/>
          <w:sz w:val="24"/>
          <w:szCs w:val="24"/>
        </w:rPr>
      </w:pPr>
      <w:r w:rsidRPr="005D78C4">
        <w:rPr>
          <w:rFonts w:ascii="Times New Roman" w:hAnsi="Times New Roman" w:cs="Times New Roman"/>
          <w:sz w:val="24"/>
          <w:szCs w:val="24"/>
        </w:rPr>
        <w:t>Към 3</w:t>
      </w:r>
      <w:r w:rsidRPr="005D78C4">
        <w:rPr>
          <w:rFonts w:ascii="Times New Roman" w:hAnsi="Times New Roman" w:cs="Times New Roman"/>
          <w:sz w:val="24"/>
          <w:szCs w:val="24"/>
          <w:lang w:val="en-US"/>
        </w:rPr>
        <w:t>0</w:t>
      </w:r>
      <w:r w:rsidRPr="005D78C4">
        <w:rPr>
          <w:rFonts w:ascii="Times New Roman" w:hAnsi="Times New Roman" w:cs="Times New Roman"/>
          <w:sz w:val="24"/>
          <w:szCs w:val="24"/>
        </w:rPr>
        <w:t>.</w:t>
      </w:r>
      <w:r w:rsidRPr="005D78C4">
        <w:rPr>
          <w:rFonts w:ascii="Times New Roman" w:hAnsi="Times New Roman" w:cs="Times New Roman"/>
          <w:sz w:val="24"/>
          <w:szCs w:val="24"/>
          <w:lang w:val="en-US"/>
        </w:rPr>
        <w:t>06</w:t>
      </w:r>
      <w:r w:rsidRPr="005D78C4">
        <w:rPr>
          <w:rFonts w:ascii="Times New Roman" w:hAnsi="Times New Roman" w:cs="Times New Roman"/>
          <w:sz w:val="24"/>
          <w:szCs w:val="24"/>
        </w:rPr>
        <w:t>.202</w:t>
      </w:r>
      <w:r w:rsidR="00C102BF" w:rsidRPr="005D78C4">
        <w:rPr>
          <w:rFonts w:ascii="Times New Roman" w:hAnsi="Times New Roman" w:cs="Times New Roman"/>
          <w:sz w:val="24"/>
          <w:szCs w:val="24"/>
          <w:lang w:val="en-US"/>
        </w:rPr>
        <w:t>5</w:t>
      </w:r>
      <w:r w:rsidRPr="005D78C4">
        <w:rPr>
          <w:rFonts w:ascii="Times New Roman" w:hAnsi="Times New Roman" w:cs="Times New Roman"/>
          <w:sz w:val="24"/>
          <w:szCs w:val="24"/>
        </w:rPr>
        <w:t xml:space="preserve"> г. по приходната част на бюджета са отчетени </w:t>
      </w:r>
      <w:r w:rsidR="000F7927" w:rsidRPr="005D78C4">
        <w:rPr>
          <w:rFonts w:ascii="Times New Roman" w:hAnsi="Times New Roman" w:cs="Times New Roman"/>
          <w:sz w:val="24"/>
          <w:szCs w:val="24"/>
        </w:rPr>
        <w:t>2</w:t>
      </w:r>
      <w:r w:rsidRPr="005D78C4">
        <w:rPr>
          <w:rFonts w:ascii="Times New Roman" w:hAnsi="Times New Roman" w:cs="Times New Roman"/>
          <w:sz w:val="24"/>
          <w:szCs w:val="24"/>
        </w:rPr>
        <w:t> </w:t>
      </w:r>
      <w:r w:rsidR="000F7927" w:rsidRPr="005D78C4">
        <w:rPr>
          <w:rFonts w:ascii="Times New Roman" w:hAnsi="Times New Roman" w:cs="Times New Roman"/>
          <w:sz w:val="24"/>
          <w:szCs w:val="24"/>
        </w:rPr>
        <w:t>0</w:t>
      </w:r>
      <w:r w:rsidR="00C102BF" w:rsidRPr="005D78C4">
        <w:rPr>
          <w:rFonts w:ascii="Times New Roman" w:hAnsi="Times New Roman" w:cs="Times New Roman"/>
          <w:sz w:val="24"/>
          <w:szCs w:val="24"/>
          <w:lang w:val="en-US"/>
        </w:rPr>
        <w:t>73</w:t>
      </w:r>
      <w:r w:rsidRPr="005D78C4">
        <w:rPr>
          <w:rFonts w:ascii="Times New Roman" w:hAnsi="Times New Roman" w:cs="Times New Roman"/>
          <w:sz w:val="24"/>
          <w:szCs w:val="24"/>
        </w:rPr>
        <w:t xml:space="preserve"> </w:t>
      </w:r>
      <w:r w:rsidR="00C102BF" w:rsidRPr="005D78C4">
        <w:rPr>
          <w:rFonts w:ascii="Times New Roman" w:hAnsi="Times New Roman" w:cs="Times New Roman"/>
          <w:sz w:val="24"/>
          <w:szCs w:val="24"/>
          <w:lang w:val="en-US"/>
        </w:rPr>
        <w:t>723</w:t>
      </w:r>
      <w:r w:rsidRPr="005D78C4">
        <w:rPr>
          <w:rFonts w:ascii="Times New Roman" w:hAnsi="Times New Roman" w:cs="Times New Roman"/>
          <w:sz w:val="24"/>
          <w:szCs w:val="24"/>
        </w:rPr>
        <w:t xml:space="preserve"> лв.</w:t>
      </w:r>
      <w:r w:rsidR="003308E2" w:rsidRPr="005D78C4">
        <w:rPr>
          <w:rFonts w:ascii="Times New Roman" w:hAnsi="Times New Roman" w:cs="Times New Roman"/>
          <w:sz w:val="24"/>
          <w:szCs w:val="24"/>
        </w:rPr>
        <w:t>,</w:t>
      </w:r>
      <w:r w:rsidRPr="005D78C4">
        <w:rPr>
          <w:rFonts w:ascii="Times New Roman" w:hAnsi="Times New Roman" w:cs="Times New Roman"/>
          <w:sz w:val="24"/>
          <w:szCs w:val="24"/>
        </w:rPr>
        <w:t xml:space="preserve"> което </w:t>
      </w:r>
      <w:r w:rsidR="003308E2" w:rsidRPr="005D78C4">
        <w:rPr>
          <w:rFonts w:ascii="Times New Roman" w:hAnsi="Times New Roman" w:cs="Times New Roman"/>
          <w:sz w:val="24"/>
          <w:szCs w:val="24"/>
        </w:rPr>
        <w:t xml:space="preserve">представлява </w:t>
      </w:r>
      <w:r w:rsidR="000F7927" w:rsidRPr="005D78C4">
        <w:rPr>
          <w:rFonts w:ascii="Times New Roman" w:hAnsi="Times New Roman" w:cs="Times New Roman"/>
          <w:sz w:val="24"/>
          <w:szCs w:val="24"/>
        </w:rPr>
        <w:t>2</w:t>
      </w:r>
      <w:r w:rsidR="00C102BF" w:rsidRPr="005D78C4">
        <w:rPr>
          <w:rFonts w:ascii="Times New Roman" w:hAnsi="Times New Roman" w:cs="Times New Roman"/>
          <w:sz w:val="24"/>
          <w:szCs w:val="24"/>
          <w:lang w:val="en-US"/>
        </w:rPr>
        <w:t>8</w:t>
      </w:r>
      <w:r w:rsidR="003308E2" w:rsidRPr="005D78C4">
        <w:rPr>
          <w:rFonts w:ascii="Times New Roman" w:hAnsi="Times New Roman" w:cs="Times New Roman"/>
          <w:sz w:val="24"/>
          <w:szCs w:val="24"/>
        </w:rPr>
        <w:t>,</w:t>
      </w:r>
      <w:r w:rsidR="000F7927" w:rsidRPr="005D78C4">
        <w:rPr>
          <w:rFonts w:ascii="Times New Roman" w:hAnsi="Times New Roman" w:cs="Times New Roman"/>
          <w:sz w:val="24"/>
          <w:szCs w:val="24"/>
        </w:rPr>
        <w:t>8</w:t>
      </w:r>
      <w:r w:rsidR="00C102BF" w:rsidRPr="005D78C4">
        <w:rPr>
          <w:rFonts w:ascii="Times New Roman" w:hAnsi="Times New Roman" w:cs="Times New Roman"/>
          <w:sz w:val="24"/>
          <w:szCs w:val="24"/>
          <w:lang w:val="en-US"/>
        </w:rPr>
        <w:t>0</w:t>
      </w:r>
      <w:r w:rsidR="003308E2" w:rsidRPr="005D78C4">
        <w:rPr>
          <w:rFonts w:ascii="Times New Roman" w:hAnsi="Times New Roman" w:cs="Times New Roman"/>
          <w:sz w:val="24"/>
          <w:szCs w:val="24"/>
        </w:rPr>
        <w:t xml:space="preserve"> % от</w:t>
      </w:r>
      <w:r w:rsidRPr="005D78C4">
        <w:rPr>
          <w:rFonts w:ascii="Times New Roman" w:hAnsi="Times New Roman" w:cs="Times New Roman"/>
          <w:sz w:val="24"/>
          <w:szCs w:val="24"/>
        </w:rPr>
        <w:t xml:space="preserve"> планираните по бюджета на КЗК </w:t>
      </w:r>
      <w:r w:rsidR="003308E2" w:rsidRPr="005D78C4">
        <w:rPr>
          <w:rFonts w:ascii="Times New Roman" w:hAnsi="Times New Roman" w:cs="Times New Roman"/>
          <w:sz w:val="24"/>
          <w:szCs w:val="24"/>
        </w:rPr>
        <w:t xml:space="preserve">за годината </w:t>
      </w:r>
      <w:r w:rsidRPr="005D78C4">
        <w:rPr>
          <w:rFonts w:ascii="Times New Roman" w:hAnsi="Times New Roman" w:cs="Times New Roman"/>
          <w:sz w:val="24"/>
          <w:szCs w:val="24"/>
        </w:rPr>
        <w:t>приходи</w:t>
      </w:r>
      <w:r w:rsidR="001B64D2" w:rsidRPr="005D78C4">
        <w:rPr>
          <w:rFonts w:ascii="Times New Roman" w:hAnsi="Times New Roman" w:cs="Times New Roman"/>
          <w:sz w:val="24"/>
          <w:szCs w:val="24"/>
        </w:rPr>
        <w:t xml:space="preserve">, като трендовете по отношение на процентното изпълнението на плана за приходите се запазват в същия </w:t>
      </w:r>
      <w:r w:rsidR="00356311" w:rsidRPr="005D78C4">
        <w:rPr>
          <w:rFonts w:ascii="Times New Roman" w:hAnsi="Times New Roman" w:cs="Times New Roman"/>
          <w:sz w:val="24"/>
          <w:szCs w:val="24"/>
        </w:rPr>
        <w:t>стойностен порядък</w:t>
      </w:r>
      <w:r w:rsidR="001B64D2" w:rsidRPr="005D78C4">
        <w:rPr>
          <w:rFonts w:ascii="Times New Roman" w:hAnsi="Times New Roman" w:cs="Times New Roman"/>
          <w:sz w:val="24"/>
          <w:szCs w:val="24"/>
        </w:rPr>
        <w:t xml:space="preserve"> спрямо референтния период на предходната година. </w:t>
      </w:r>
    </w:p>
    <w:p w14:paraId="399A5EE5" w14:textId="55A52693" w:rsidR="001B64D2" w:rsidRPr="005D78C4" w:rsidRDefault="001B64D2" w:rsidP="00C33ABA">
      <w:pPr>
        <w:shd w:val="clear" w:color="auto" w:fill="FFFFFF"/>
        <w:spacing w:after="40" w:line="264" w:lineRule="auto"/>
        <w:ind w:right="11" w:firstLine="709"/>
        <w:jc w:val="both"/>
        <w:rPr>
          <w:rFonts w:ascii="Times New Roman" w:eastAsia="Batang" w:hAnsi="Times New Roman" w:cs="Times New Roman"/>
          <w:sz w:val="24"/>
          <w:szCs w:val="24"/>
          <w:lang w:eastAsia="bg-BG"/>
        </w:rPr>
      </w:pPr>
      <w:r w:rsidRPr="005D78C4">
        <w:rPr>
          <w:rFonts w:ascii="Times New Roman" w:hAnsi="Times New Roman" w:cs="Times New Roman"/>
          <w:sz w:val="24"/>
          <w:szCs w:val="24"/>
        </w:rPr>
        <w:t xml:space="preserve">Приходите, които постъпват в </w:t>
      </w:r>
      <w:r w:rsidRPr="005D78C4">
        <w:rPr>
          <w:rFonts w:ascii="Times New Roman" w:eastAsia="Batang" w:hAnsi="Times New Roman" w:cs="Times New Roman"/>
          <w:sz w:val="24"/>
          <w:szCs w:val="24"/>
          <w:lang w:eastAsia="bg-BG"/>
        </w:rPr>
        <w:t xml:space="preserve">КЗК, са се формират в основната си част от внесени държавни такси по тарифите към ЗЗК, ЗОП и ЗК, и от платени глоби и имуществени санкции по ЗЗК и ЗОП. </w:t>
      </w:r>
    </w:p>
    <w:tbl>
      <w:tblPr>
        <w:tblW w:w="9219" w:type="dxa"/>
        <w:tblCellMar>
          <w:left w:w="70" w:type="dxa"/>
          <w:right w:w="70" w:type="dxa"/>
        </w:tblCellMar>
        <w:tblLook w:val="04A0" w:firstRow="1" w:lastRow="0" w:firstColumn="1" w:lastColumn="0" w:noHBand="0" w:noVBand="1"/>
      </w:tblPr>
      <w:tblGrid>
        <w:gridCol w:w="5740"/>
        <w:gridCol w:w="1136"/>
        <w:gridCol w:w="1278"/>
        <w:gridCol w:w="1065"/>
      </w:tblGrid>
      <w:tr w:rsidR="00C102BF" w:rsidRPr="005D78C4" w14:paraId="0606F560" w14:textId="77777777" w:rsidTr="001B64D2">
        <w:trPr>
          <w:trHeight w:val="315"/>
        </w:trPr>
        <w:tc>
          <w:tcPr>
            <w:tcW w:w="5740" w:type="dxa"/>
            <w:tcBorders>
              <w:top w:val="nil"/>
              <w:left w:val="nil"/>
              <w:bottom w:val="nil"/>
              <w:right w:val="nil"/>
            </w:tcBorders>
            <w:shd w:val="clear" w:color="auto" w:fill="auto"/>
            <w:noWrap/>
            <w:vAlign w:val="center"/>
            <w:hideMark/>
          </w:tcPr>
          <w:p w14:paraId="1B2C255A" w14:textId="77777777" w:rsidR="00451EC5" w:rsidRPr="005D78C4" w:rsidRDefault="00451EC5" w:rsidP="00DB66D9">
            <w:pPr>
              <w:spacing w:after="40" w:line="264" w:lineRule="auto"/>
              <w:jc w:val="both"/>
              <w:rPr>
                <w:rFonts w:ascii="Times New Roman" w:hAnsi="Times New Roman" w:cs="Times New Roman"/>
                <w:b/>
                <w:i/>
                <w:sz w:val="24"/>
                <w:szCs w:val="24"/>
              </w:rPr>
            </w:pPr>
          </w:p>
          <w:p w14:paraId="27D9239D" w14:textId="7F87A0EC" w:rsidR="00451EC5" w:rsidRPr="005D78C4" w:rsidRDefault="00451EC5" w:rsidP="00DB66D9">
            <w:pPr>
              <w:spacing w:after="40" w:line="264" w:lineRule="auto"/>
              <w:jc w:val="both"/>
              <w:rPr>
                <w:rFonts w:ascii="Times New Roman" w:hAnsi="Times New Roman" w:cs="Times New Roman"/>
                <w:sz w:val="24"/>
                <w:szCs w:val="24"/>
              </w:rPr>
            </w:pPr>
            <w:r w:rsidRPr="005D78C4">
              <w:rPr>
                <w:rFonts w:ascii="Times New Roman" w:hAnsi="Times New Roman" w:cs="Times New Roman"/>
                <w:b/>
                <w:i/>
                <w:sz w:val="24"/>
                <w:szCs w:val="24"/>
              </w:rPr>
              <w:t xml:space="preserve">Приложение № 1 </w:t>
            </w:r>
            <w:r w:rsidRPr="005D78C4">
              <w:rPr>
                <w:rFonts w:ascii="Times New Roman" w:hAnsi="Times New Roman" w:cs="Times New Roman"/>
                <w:sz w:val="24"/>
                <w:szCs w:val="24"/>
              </w:rPr>
              <w:t>– Отчет на приходите по бюджета</w:t>
            </w:r>
          </w:p>
        </w:tc>
        <w:tc>
          <w:tcPr>
            <w:tcW w:w="1136" w:type="dxa"/>
            <w:tcBorders>
              <w:top w:val="nil"/>
              <w:left w:val="nil"/>
              <w:bottom w:val="nil"/>
              <w:right w:val="nil"/>
            </w:tcBorders>
            <w:shd w:val="clear" w:color="auto" w:fill="auto"/>
            <w:noWrap/>
            <w:vAlign w:val="bottom"/>
            <w:hideMark/>
          </w:tcPr>
          <w:p w14:paraId="50380CEF" w14:textId="77777777" w:rsidR="00451EC5" w:rsidRPr="005D78C4" w:rsidRDefault="00451EC5" w:rsidP="00DB66D9">
            <w:pPr>
              <w:spacing w:after="40" w:line="264" w:lineRule="auto"/>
              <w:jc w:val="both"/>
              <w:rPr>
                <w:rFonts w:ascii="Times New Roman" w:eastAsia="Times New Roman" w:hAnsi="Times New Roman" w:cs="Times New Roman"/>
                <w:b/>
                <w:bCs/>
                <w:sz w:val="20"/>
                <w:szCs w:val="20"/>
                <w:lang w:eastAsia="bg-BG"/>
              </w:rPr>
            </w:pPr>
          </w:p>
        </w:tc>
        <w:tc>
          <w:tcPr>
            <w:tcW w:w="1278" w:type="dxa"/>
            <w:tcBorders>
              <w:top w:val="nil"/>
              <w:left w:val="nil"/>
              <w:bottom w:val="nil"/>
              <w:right w:val="nil"/>
            </w:tcBorders>
            <w:shd w:val="clear" w:color="auto" w:fill="auto"/>
            <w:noWrap/>
            <w:vAlign w:val="bottom"/>
            <w:hideMark/>
          </w:tcPr>
          <w:p w14:paraId="115510EE" w14:textId="77777777" w:rsidR="00451EC5" w:rsidRPr="005D78C4" w:rsidRDefault="00451EC5" w:rsidP="00DB66D9">
            <w:pPr>
              <w:spacing w:after="40" w:line="264" w:lineRule="auto"/>
              <w:rPr>
                <w:rFonts w:ascii="Times New Roman" w:eastAsia="Times New Roman" w:hAnsi="Times New Roman" w:cs="Times New Roman"/>
                <w:sz w:val="20"/>
                <w:szCs w:val="20"/>
                <w:lang w:eastAsia="bg-BG"/>
              </w:rPr>
            </w:pPr>
          </w:p>
        </w:tc>
        <w:tc>
          <w:tcPr>
            <w:tcW w:w="1065" w:type="dxa"/>
            <w:tcBorders>
              <w:top w:val="nil"/>
              <w:left w:val="nil"/>
              <w:bottom w:val="nil"/>
              <w:right w:val="nil"/>
            </w:tcBorders>
            <w:shd w:val="clear" w:color="auto" w:fill="auto"/>
            <w:noWrap/>
            <w:vAlign w:val="bottom"/>
            <w:hideMark/>
          </w:tcPr>
          <w:p w14:paraId="077747B7" w14:textId="77777777" w:rsidR="00451EC5" w:rsidRPr="005D78C4" w:rsidRDefault="00451EC5" w:rsidP="00DB66D9">
            <w:pPr>
              <w:spacing w:after="40" w:line="264" w:lineRule="auto"/>
              <w:rPr>
                <w:rFonts w:ascii="Times New Roman" w:eastAsia="Times New Roman" w:hAnsi="Times New Roman" w:cs="Times New Roman"/>
                <w:sz w:val="20"/>
                <w:szCs w:val="20"/>
                <w:lang w:eastAsia="bg-BG"/>
              </w:rPr>
            </w:pPr>
          </w:p>
        </w:tc>
      </w:tr>
      <w:tr w:rsidR="00C102BF" w:rsidRPr="005D78C4" w14:paraId="3D5BB9D1" w14:textId="77777777" w:rsidTr="001B64D2">
        <w:trPr>
          <w:trHeight w:val="300"/>
        </w:trPr>
        <w:tc>
          <w:tcPr>
            <w:tcW w:w="5740" w:type="dxa"/>
            <w:tcBorders>
              <w:top w:val="single" w:sz="8" w:space="0" w:color="auto"/>
              <w:left w:val="single" w:sz="8" w:space="0" w:color="auto"/>
              <w:bottom w:val="nil"/>
              <w:right w:val="single" w:sz="8" w:space="0" w:color="auto"/>
            </w:tcBorders>
            <w:shd w:val="clear" w:color="000000" w:fill="E6E6E6"/>
            <w:vAlign w:val="center"/>
            <w:hideMark/>
          </w:tcPr>
          <w:p w14:paraId="540018B3" w14:textId="77777777" w:rsidR="00451EC5" w:rsidRPr="005D78C4" w:rsidRDefault="00451EC5" w:rsidP="00DB66D9">
            <w:pPr>
              <w:spacing w:after="40" w:line="264" w:lineRule="auto"/>
              <w:jc w:val="center"/>
              <w:rPr>
                <w:rFonts w:ascii="Times New Roman" w:eastAsia="Times New Roman" w:hAnsi="Times New Roman" w:cs="Times New Roman"/>
                <w:b/>
                <w:bCs/>
                <w:lang w:eastAsia="bg-BG"/>
              </w:rPr>
            </w:pPr>
            <w:r w:rsidRPr="005D78C4">
              <w:rPr>
                <w:rFonts w:ascii="Times New Roman" w:eastAsia="Times New Roman" w:hAnsi="Times New Roman" w:cs="Times New Roman"/>
                <w:b/>
                <w:bCs/>
                <w:lang w:eastAsia="bg-BG"/>
              </w:rPr>
              <w:t>ПРИХОДИ</w:t>
            </w:r>
          </w:p>
        </w:tc>
        <w:tc>
          <w:tcPr>
            <w:tcW w:w="1136"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14:paraId="22C0670B" w14:textId="77777777" w:rsidR="00451EC5" w:rsidRPr="005D78C4" w:rsidRDefault="00451EC5" w:rsidP="00DB66D9">
            <w:pPr>
              <w:spacing w:after="40" w:line="264" w:lineRule="auto"/>
              <w:jc w:val="center"/>
              <w:rPr>
                <w:rFonts w:ascii="Times New Roman" w:eastAsia="Times New Roman" w:hAnsi="Times New Roman" w:cs="Times New Roman"/>
                <w:b/>
                <w:bCs/>
                <w:lang w:eastAsia="bg-BG"/>
              </w:rPr>
            </w:pPr>
            <w:r w:rsidRPr="005D78C4">
              <w:rPr>
                <w:rFonts w:ascii="Times New Roman" w:eastAsia="Times New Roman" w:hAnsi="Times New Roman" w:cs="Times New Roman"/>
                <w:b/>
                <w:bCs/>
                <w:lang w:eastAsia="bg-BG"/>
              </w:rPr>
              <w:t>Закон</w:t>
            </w:r>
          </w:p>
        </w:tc>
        <w:tc>
          <w:tcPr>
            <w:tcW w:w="127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14:paraId="4A3DC692" w14:textId="77777777" w:rsidR="00451EC5" w:rsidRPr="005D78C4" w:rsidRDefault="00451EC5" w:rsidP="00DB66D9">
            <w:pPr>
              <w:spacing w:after="40" w:line="264" w:lineRule="auto"/>
              <w:jc w:val="center"/>
              <w:rPr>
                <w:rFonts w:ascii="Times New Roman" w:eastAsia="Times New Roman" w:hAnsi="Times New Roman" w:cs="Times New Roman"/>
                <w:b/>
                <w:bCs/>
                <w:lang w:eastAsia="bg-BG"/>
              </w:rPr>
            </w:pPr>
            <w:r w:rsidRPr="005D78C4">
              <w:rPr>
                <w:rFonts w:ascii="Times New Roman" w:eastAsia="Times New Roman" w:hAnsi="Times New Roman" w:cs="Times New Roman"/>
                <w:b/>
                <w:bCs/>
                <w:lang w:eastAsia="bg-BG"/>
              </w:rPr>
              <w:t>Уточнен план</w:t>
            </w:r>
          </w:p>
        </w:tc>
        <w:tc>
          <w:tcPr>
            <w:tcW w:w="1065"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14:paraId="3EF7A402" w14:textId="77777777" w:rsidR="00451EC5" w:rsidRPr="005D78C4" w:rsidRDefault="00451EC5" w:rsidP="00DB66D9">
            <w:pPr>
              <w:spacing w:after="40" w:line="264" w:lineRule="auto"/>
              <w:jc w:val="center"/>
              <w:rPr>
                <w:rFonts w:ascii="Times New Roman" w:eastAsia="Times New Roman" w:hAnsi="Times New Roman" w:cs="Times New Roman"/>
                <w:b/>
                <w:bCs/>
                <w:lang w:eastAsia="bg-BG"/>
              </w:rPr>
            </w:pPr>
            <w:r w:rsidRPr="005D78C4">
              <w:rPr>
                <w:rFonts w:ascii="Times New Roman" w:eastAsia="Times New Roman" w:hAnsi="Times New Roman" w:cs="Times New Roman"/>
                <w:b/>
                <w:bCs/>
                <w:lang w:eastAsia="bg-BG"/>
              </w:rPr>
              <w:t>Отчет</w:t>
            </w:r>
          </w:p>
        </w:tc>
      </w:tr>
      <w:tr w:rsidR="00C102BF" w:rsidRPr="005D78C4" w14:paraId="574EE458" w14:textId="77777777" w:rsidTr="001B64D2">
        <w:trPr>
          <w:trHeight w:val="315"/>
        </w:trPr>
        <w:tc>
          <w:tcPr>
            <w:tcW w:w="5740" w:type="dxa"/>
            <w:tcBorders>
              <w:top w:val="nil"/>
              <w:left w:val="single" w:sz="8" w:space="0" w:color="auto"/>
              <w:bottom w:val="single" w:sz="8" w:space="0" w:color="auto"/>
              <w:right w:val="single" w:sz="8" w:space="0" w:color="auto"/>
            </w:tcBorders>
            <w:shd w:val="clear" w:color="000000" w:fill="E6E6E6"/>
            <w:vAlign w:val="center"/>
            <w:hideMark/>
          </w:tcPr>
          <w:p w14:paraId="02F45FA5" w14:textId="77777777" w:rsidR="00451EC5" w:rsidRPr="005D78C4" w:rsidRDefault="00451EC5" w:rsidP="00DB66D9">
            <w:pPr>
              <w:spacing w:after="40" w:line="264" w:lineRule="auto"/>
              <w:jc w:val="center"/>
              <w:rPr>
                <w:rFonts w:ascii="Times New Roman" w:eastAsia="Times New Roman" w:hAnsi="Times New Roman" w:cs="Times New Roman"/>
                <w:b/>
                <w:bCs/>
                <w:lang w:eastAsia="bg-BG"/>
              </w:rPr>
            </w:pPr>
            <w:r w:rsidRPr="005D78C4">
              <w:rPr>
                <w:rFonts w:ascii="Times New Roman" w:eastAsia="Times New Roman" w:hAnsi="Times New Roman" w:cs="Times New Roman"/>
                <w:b/>
                <w:bCs/>
                <w:lang w:eastAsia="bg-BG"/>
              </w:rPr>
              <w:t>(в лева)</w:t>
            </w:r>
          </w:p>
        </w:tc>
        <w:tc>
          <w:tcPr>
            <w:tcW w:w="1136" w:type="dxa"/>
            <w:vMerge/>
            <w:tcBorders>
              <w:top w:val="single" w:sz="8" w:space="0" w:color="auto"/>
              <w:left w:val="single" w:sz="8" w:space="0" w:color="auto"/>
              <w:bottom w:val="single" w:sz="8" w:space="0" w:color="000000"/>
              <w:right w:val="single" w:sz="8" w:space="0" w:color="auto"/>
            </w:tcBorders>
            <w:vAlign w:val="center"/>
            <w:hideMark/>
          </w:tcPr>
          <w:p w14:paraId="7405F2D0" w14:textId="77777777" w:rsidR="00451EC5" w:rsidRPr="005D78C4" w:rsidRDefault="00451EC5" w:rsidP="00DB66D9">
            <w:pPr>
              <w:spacing w:after="40" w:line="264" w:lineRule="auto"/>
              <w:rPr>
                <w:rFonts w:ascii="Times New Roman" w:eastAsia="Times New Roman" w:hAnsi="Times New Roman" w:cs="Times New Roman"/>
                <w:b/>
                <w:bCs/>
                <w:lang w:eastAsia="bg-BG"/>
              </w:rPr>
            </w:pPr>
          </w:p>
        </w:tc>
        <w:tc>
          <w:tcPr>
            <w:tcW w:w="1278" w:type="dxa"/>
            <w:vMerge/>
            <w:tcBorders>
              <w:top w:val="single" w:sz="8" w:space="0" w:color="auto"/>
              <w:left w:val="single" w:sz="8" w:space="0" w:color="auto"/>
              <w:bottom w:val="single" w:sz="8" w:space="0" w:color="000000"/>
              <w:right w:val="single" w:sz="8" w:space="0" w:color="auto"/>
            </w:tcBorders>
            <w:vAlign w:val="center"/>
            <w:hideMark/>
          </w:tcPr>
          <w:p w14:paraId="23410669" w14:textId="77777777" w:rsidR="00451EC5" w:rsidRPr="005D78C4" w:rsidRDefault="00451EC5" w:rsidP="00DB66D9">
            <w:pPr>
              <w:spacing w:after="40" w:line="264" w:lineRule="auto"/>
              <w:rPr>
                <w:rFonts w:ascii="Times New Roman" w:eastAsia="Times New Roman" w:hAnsi="Times New Roman" w:cs="Times New Roman"/>
                <w:b/>
                <w:bCs/>
                <w:lang w:eastAsia="bg-BG"/>
              </w:rPr>
            </w:pPr>
          </w:p>
        </w:tc>
        <w:tc>
          <w:tcPr>
            <w:tcW w:w="1065" w:type="dxa"/>
            <w:vMerge/>
            <w:tcBorders>
              <w:top w:val="single" w:sz="8" w:space="0" w:color="auto"/>
              <w:left w:val="single" w:sz="8" w:space="0" w:color="auto"/>
              <w:bottom w:val="single" w:sz="8" w:space="0" w:color="000000"/>
              <w:right w:val="single" w:sz="8" w:space="0" w:color="auto"/>
            </w:tcBorders>
            <w:vAlign w:val="center"/>
            <w:hideMark/>
          </w:tcPr>
          <w:p w14:paraId="109FA378" w14:textId="77777777" w:rsidR="00451EC5" w:rsidRPr="005D78C4" w:rsidRDefault="00451EC5" w:rsidP="00DB66D9">
            <w:pPr>
              <w:spacing w:after="40" w:line="264" w:lineRule="auto"/>
              <w:rPr>
                <w:rFonts w:ascii="Times New Roman" w:eastAsia="Times New Roman" w:hAnsi="Times New Roman" w:cs="Times New Roman"/>
                <w:b/>
                <w:bCs/>
                <w:lang w:eastAsia="bg-BG"/>
              </w:rPr>
            </w:pPr>
          </w:p>
        </w:tc>
      </w:tr>
      <w:tr w:rsidR="00C102BF" w:rsidRPr="005D78C4" w14:paraId="136828D3" w14:textId="77777777" w:rsidTr="001B64D2">
        <w:trPr>
          <w:trHeight w:val="315"/>
        </w:trPr>
        <w:tc>
          <w:tcPr>
            <w:tcW w:w="5740" w:type="dxa"/>
            <w:tcBorders>
              <w:top w:val="nil"/>
              <w:left w:val="single" w:sz="8" w:space="0" w:color="auto"/>
              <w:bottom w:val="single" w:sz="8" w:space="0" w:color="auto"/>
              <w:right w:val="single" w:sz="8" w:space="0" w:color="auto"/>
            </w:tcBorders>
            <w:shd w:val="clear" w:color="000000" w:fill="E6E6E6"/>
            <w:vAlign w:val="center"/>
            <w:hideMark/>
          </w:tcPr>
          <w:p w14:paraId="089AF530" w14:textId="77777777" w:rsidR="00451EC5" w:rsidRPr="005D78C4" w:rsidRDefault="00451EC5" w:rsidP="00DB66D9">
            <w:pPr>
              <w:spacing w:after="40" w:line="264" w:lineRule="auto"/>
              <w:rPr>
                <w:rFonts w:ascii="Times New Roman" w:eastAsia="Times New Roman" w:hAnsi="Times New Roman" w:cs="Times New Roman"/>
                <w:b/>
                <w:bCs/>
                <w:lang w:eastAsia="bg-BG"/>
              </w:rPr>
            </w:pPr>
            <w:r w:rsidRPr="005D78C4">
              <w:rPr>
                <w:rFonts w:ascii="Times New Roman" w:eastAsia="Times New Roman" w:hAnsi="Times New Roman" w:cs="Times New Roman"/>
                <w:b/>
                <w:bCs/>
                <w:lang w:eastAsia="bg-BG"/>
              </w:rPr>
              <w:t>Общо приходи:</w:t>
            </w:r>
          </w:p>
        </w:tc>
        <w:tc>
          <w:tcPr>
            <w:tcW w:w="1136" w:type="dxa"/>
            <w:tcBorders>
              <w:top w:val="nil"/>
              <w:left w:val="nil"/>
              <w:bottom w:val="single" w:sz="8" w:space="0" w:color="auto"/>
              <w:right w:val="single" w:sz="8" w:space="0" w:color="auto"/>
            </w:tcBorders>
            <w:shd w:val="clear" w:color="000000" w:fill="E6E6E6"/>
            <w:vAlign w:val="center"/>
            <w:hideMark/>
          </w:tcPr>
          <w:p w14:paraId="3BBCF786" w14:textId="31088F10" w:rsidR="00451EC5" w:rsidRPr="005D78C4" w:rsidRDefault="00C102BF" w:rsidP="00DB66D9">
            <w:pPr>
              <w:spacing w:after="40" w:line="264" w:lineRule="auto"/>
              <w:jc w:val="right"/>
              <w:rPr>
                <w:rFonts w:ascii="Times New Roman" w:eastAsia="Times New Roman" w:hAnsi="Times New Roman" w:cs="Times New Roman"/>
                <w:b/>
                <w:bCs/>
                <w:lang w:eastAsia="bg-BG"/>
              </w:rPr>
            </w:pPr>
            <w:r w:rsidRPr="005D78C4">
              <w:rPr>
                <w:rFonts w:ascii="Times New Roman" w:eastAsia="Times New Roman" w:hAnsi="Times New Roman" w:cs="Times New Roman"/>
                <w:b/>
                <w:bCs/>
                <w:lang w:val="en-US" w:eastAsia="bg-BG"/>
              </w:rPr>
              <w:t>7</w:t>
            </w:r>
            <w:r w:rsidR="00451EC5" w:rsidRPr="005D78C4">
              <w:rPr>
                <w:rFonts w:ascii="Times New Roman" w:eastAsia="Times New Roman" w:hAnsi="Times New Roman" w:cs="Times New Roman"/>
                <w:b/>
                <w:bCs/>
                <w:lang w:eastAsia="bg-BG"/>
              </w:rPr>
              <w:t xml:space="preserve"> </w:t>
            </w:r>
            <w:r w:rsidR="00955E4E" w:rsidRPr="005D78C4">
              <w:rPr>
                <w:rFonts w:ascii="Times New Roman" w:eastAsia="Times New Roman" w:hAnsi="Times New Roman" w:cs="Times New Roman"/>
                <w:b/>
                <w:bCs/>
                <w:lang w:val="en-US" w:eastAsia="bg-BG"/>
              </w:rPr>
              <w:t>2</w:t>
            </w:r>
            <w:r w:rsidR="00451EC5" w:rsidRPr="005D78C4">
              <w:rPr>
                <w:rFonts w:ascii="Times New Roman" w:eastAsia="Times New Roman" w:hAnsi="Times New Roman" w:cs="Times New Roman"/>
                <w:b/>
                <w:bCs/>
                <w:lang w:eastAsia="bg-BG"/>
              </w:rPr>
              <w:t>00 000</w:t>
            </w:r>
          </w:p>
        </w:tc>
        <w:tc>
          <w:tcPr>
            <w:tcW w:w="1278" w:type="dxa"/>
            <w:tcBorders>
              <w:top w:val="nil"/>
              <w:left w:val="nil"/>
              <w:bottom w:val="single" w:sz="8" w:space="0" w:color="auto"/>
              <w:right w:val="single" w:sz="8" w:space="0" w:color="auto"/>
            </w:tcBorders>
            <w:shd w:val="clear" w:color="000000" w:fill="E6E6E6"/>
            <w:vAlign w:val="center"/>
            <w:hideMark/>
          </w:tcPr>
          <w:p w14:paraId="5B709549" w14:textId="30D7B948" w:rsidR="00451EC5" w:rsidRPr="005D78C4" w:rsidRDefault="00C102BF" w:rsidP="00DB66D9">
            <w:pPr>
              <w:spacing w:after="40" w:line="264" w:lineRule="auto"/>
              <w:jc w:val="right"/>
              <w:rPr>
                <w:rFonts w:ascii="Times New Roman" w:eastAsia="Times New Roman" w:hAnsi="Times New Roman" w:cs="Times New Roman"/>
                <w:b/>
                <w:bCs/>
                <w:lang w:eastAsia="bg-BG"/>
              </w:rPr>
            </w:pPr>
            <w:r w:rsidRPr="005D78C4">
              <w:rPr>
                <w:rFonts w:ascii="Times New Roman" w:eastAsia="Times New Roman" w:hAnsi="Times New Roman" w:cs="Times New Roman"/>
                <w:b/>
                <w:bCs/>
                <w:lang w:val="en-US" w:eastAsia="bg-BG"/>
              </w:rPr>
              <w:t>7</w:t>
            </w:r>
            <w:r w:rsidR="00451EC5" w:rsidRPr="005D78C4">
              <w:rPr>
                <w:rFonts w:ascii="Times New Roman" w:eastAsia="Times New Roman" w:hAnsi="Times New Roman" w:cs="Times New Roman"/>
                <w:b/>
                <w:bCs/>
                <w:lang w:eastAsia="bg-BG"/>
              </w:rPr>
              <w:t xml:space="preserve"> </w:t>
            </w:r>
            <w:r w:rsidR="00955E4E" w:rsidRPr="005D78C4">
              <w:rPr>
                <w:rFonts w:ascii="Times New Roman" w:eastAsia="Times New Roman" w:hAnsi="Times New Roman" w:cs="Times New Roman"/>
                <w:b/>
                <w:bCs/>
                <w:lang w:val="en-US" w:eastAsia="bg-BG"/>
              </w:rPr>
              <w:t>2</w:t>
            </w:r>
            <w:r w:rsidR="00451EC5" w:rsidRPr="005D78C4">
              <w:rPr>
                <w:rFonts w:ascii="Times New Roman" w:eastAsia="Times New Roman" w:hAnsi="Times New Roman" w:cs="Times New Roman"/>
                <w:b/>
                <w:bCs/>
                <w:lang w:eastAsia="bg-BG"/>
              </w:rPr>
              <w:t>00 000</w:t>
            </w:r>
          </w:p>
        </w:tc>
        <w:tc>
          <w:tcPr>
            <w:tcW w:w="1065" w:type="dxa"/>
            <w:tcBorders>
              <w:top w:val="nil"/>
              <w:left w:val="nil"/>
              <w:bottom w:val="single" w:sz="8" w:space="0" w:color="auto"/>
              <w:right w:val="single" w:sz="8" w:space="0" w:color="auto"/>
            </w:tcBorders>
            <w:shd w:val="clear" w:color="000000" w:fill="E6E6E6"/>
            <w:vAlign w:val="center"/>
            <w:hideMark/>
          </w:tcPr>
          <w:p w14:paraId="091C07E9" w14:textId="27EADF75" w:rsidR="00451EC5" w:rsidRPr="005D78C4" w:rsidRDefault="008F292A" w:rsidP="00DB66D9">
            <w:pPr>
              <w:spacing w:after="40" w:line="264" w:lineRule="auto"/>
              <w:jc w:val="right"/>
              <w:rPr>
                <w:rFonts w:ascii="Times New Roman" w:eastAsia="Times New Roman" w:hAnsi="Times New Roman" w:cs="Times New Roman"/>
                <w:b/>
                <w:bCs/>
                <w:lang w:val="en-US" w:eastAsia="bg-BG"/>
              </w:rPr>
            </w:pPr>
            <w:r w:rsidRPr="005D78C4">
              <w:rPr>
                <w:rFonts w:ascii="Times New Roman" w:eastAsia="Times New Roman" w:hAnsi="Times New Roman" w:cs="Times New Roman"/>
                <w:b/>
                <w:bCs/>
                <w:lang w:eastAsia="bg-BG"/>
              </w:rPr>
              <w:t>2</w:t>
            </w:r>
            <w:r w:rsidR="00451EC5" w:rsidRPr="005D78C4">
              <w:rPr>
                <w:rFonts w:ascii="Times New Roman" w:eastAsia="Times New Roman" w:hAnsi="Times New Roman" w:cs="Times New Roman"/>
                <w:b/>
                <w:bCs/>
                <w:lang w:eastAsia="bg-BG"/>
              </w:rPr>
              <w:t xml:space="preserve"> </w:t>
            </w:r>
            <w:r w:rsidRPr="005D78C4">
              <w:rPr>
                <w:rFonts w:ascii="Times New Roman" w:eastAsia="Times New Roman" w:hAnsi="Times New Roman" w:cs="Times New Roman"/>
                <w:b/>
                <w:bCs/>
                <w:lang w:eastAsia="bg-BG"/>
              </w:rPr>
              <w:t>0</w:t>
            </w:r>
            <w:r w:rsidR="00C102BF" w:rsidRPr="005D78C4">
              <w:rPr>
                <w:rFonts w:ascii="Times New Roman" w:eastAsia="Times New Roman" w:hAnsi="Times New Roman" w:cs="Times New Roman"/>
                <w:b/>
                <w:bCs/>
                <w:lang w:val="en-US" w:eastAsia="bg-BG"/>
              </w:rPr>
              <w:t>73</w:t>
            </w:r>
            <w:r w:rsidR="00451EC5" w:rsidRPr="005D78C4">
              <w:rPr>
                <w:rFonts w:ascii="Times New Roman" w:eastAsia="Times New Roman" w:hAnsi="Times New Roman" w:cs="Times New Roman"/>
                <w:b/>
                <w:bCs/>
                <w:lang w:eastAsia="bg-BG"/>
              </w:rPr>
              <w:t xml:space="preserve"> </w:t>
            </w:r>
            <w:r w:rsidR="00C102BF" w:rsidRPr="005D78C4">
              <w:rPr>
                <w:rFonts w:ascii="Times New Roman" w:eastAsia="Times New Roman" w:hAnsi="Times New Roman" w:cs="Times New Roman"/>
                <w:b/>
                <w:bCs/>
                <w:lang w:val="en-US" w:eastAsia="bg-BG"/>
              </w:rPr>
              <w:t>723</w:t>
            </w:r>
          </w:p>
        </w:tc>
      </w:tr>
      <w:tr w:rsidR="00C102BF" w:rsidRPr="005D78C4" w14:paraId="0375BF15" w14:textId="77777777" w:rsidTr="001B64D2">
        <w:trPr>
          <w:trHeight w:val="315"/>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1DF2DC74" w14:textId="77777777" w:rsidR="00451EC5" w:rsidRPr="005D78C4" w:rsidRDefault="00451EC5" w:rsidP="00DB66D9">
            <w:pPr>
              <w:spacing w:after="40" w:line="264" w:lineRule="auto"/>
              <w:jc w:val="both"/>
              <w:rPr>
                <w:rFonts w:ascii="Times New Roman" w:eastAsia="Times New Roman" w:hAnsi="Times New Roman" w:cs="Times New Roman"/>
                <w:b/>
                <w:i/>
                <w:iCs/>
                <w:sz w:val="16"/>
                <w:szCs w:val="16"/>
                <w:lang w:eastAsia="bg-BG"/>
              </w:rPr>
            </w:pPr>
            <w:r w:rsidRPr="005D78C4">
              <w:rPr>
                <w:rFonts w:ascii="Times New Roman" w:eastAsia="Times New Roman" w:hAnsi="Times New Roman" w:cs="Times New Roman"/>
                <w:b/>
                <w:i/>
                <w:iCs/>
                <w:lang w:eastAsia="bg-BG"/>
              </w:rPr>
              <w:t>Данъчни приходи</w:t>
            </w:r>
          </w:p>
        </w:tc>
        <w:tc>
          <w:tcPr>
            <w:tcW w:w="1136" w:type="dxa"/>
            <w:tcBorders>
              <w:top w:val="nil"/>
              <w:left w:val="nil"/>
              <w:bottom w:val="single" w:sz="8" w:space="0" w:color="auto"/>
              <w:right w:val="single" w:sz="8" w:space="0" w:color="auto"/>
            </w:tcBorders>
            <w:shd w:val="clear" w:color="auto" w:fill="auto"/>
            <w:vAlign w:val="center"/>
            <w:hideMark/>
          </w:tcPr>
          <w:p w14:paraId="090011A8" w14:textId="77777777" w:rsidR="00451EC5" w:rsidRPr="005D78C4" w:rsidRDefault="00451EC5" w:rsidP="00DB66D9">
            <w:pPr>
              <w:spacing w:after="40" w:line="264" w:lineRule="auto"/>
              <w:jc w:val="right"/>
              <w:rPr>
                <w:rFonts w:ascii="Times New Roman" w:eastAsia="Times New Roman" w:hAnsi="Times New Roman" w:cs="Times New Roman"/>
                <w:b/>
                <w:lang w:val="en-US" w:eastAsia="bg-BG"/>
              </w:rPr>
            </w:pPr>
            <w:r w:rsidRPr="005D78C4">
              <w:rPr>
                <w:rFonts w:ascii="Times New Roman" w:eastAsia="Times New Roman" w:hAnsi="Times New Roman" w:cs="Times New Roman"/>
                <w:b/>
                <w:lang w:val="en-US" w:eastAsia="bg-BG"/>
              </w:rPr>
              <w:t>0</w:t>
            </w:r>
          </w:p>
        </w:tc>
        <w:tc>
          <w:tcPr>
            <w:tcW w:w="1278" w:type="dxa"/>
            <w:tcBorders>
              <w:top w:val="nil"/>
              <w:left w:val="nil"/>
              <w:bottom w:val="single" w:sz="8" w:space="0" w:color="auto"/>
              <w:right w:val="single" w:sz="8" w:space="0" w:color="auto"/>
            </w:tcBorders>
            <w:shd w:val="clear" w:color="auto" w:fill="auto"/>
            <w:vAlign w:val="center"/>
            <w:hideMark/>
          </w:tcPr>
          <w:p w14:paraId="62B20065" w14:textId="77777777" w:rsidR="00451EC5" w:rsidRPr="005D78C4" w:rsidRDefault="00451EC5" w:rsidP="00DB66D9">
            <w:pPr>
              <w:spacing w:after="40" w:line="264" w:lineRule="auto"/>
              <w:jc w:val="right"/>
              <w:rPr>
                <w:rFonts w:ascii="Times New Roman" w:eastAsia="Times New Roman" w:hAnsi="Times New Roman" w:cs="Times New Roman"/>
                <w:b/>
                <w:lang w:val="en-US" w:eastAsia="bg-BG"/>
              </w:rPr>
            </w:pPr>
            <w:r w:rsidRPr="005D78C4">
              <w:rPr>
                <w:rFonts w:ascii="Times New Roman" w:eastAsia="Times New Roman" w:hAnsi="Times New Roman" w:cs="Times New Roman"/>
                <w:b/>
                <w:lang w:val="en-US" w:eastAsia="bg-BG"/>
              </w:rPr>
              <w:t>0</w:t>
            </w:r>
          </w:p>
        </w:tc>
        <w:tc>
          <w:tcPr>
            <w:tcW w:w="1065" w:type="dxa"/>
            <w:tcBorders>
              <w:top w:val="nil"/>
              <w:left w:val="nil"/>
              <w:bottom w:val="single" w:sz="8" w:space="0" w:color="auto"/>
              <w:right w:val="single" w:sz="8" w:space="0" w:color="auto"/>
            </w:tcBorders>
            <w:shd w:val="clear" w:color="auto" w:fill="auto"/>
            <w:vAlign w:val="center"/>
            <w:hideMark/>
          </w:tcPr>
          <w:p w14:paraId="61C5FC87" w14:textId="77777777" w:rsidR="00451EC5" w:rsidRPr="005D78C4" w:rsidRDefault="00451EC5" w:rsidP="00DB66D9">
            <w:pPr>
              <w:spacing w:after="40" w:line="264" w:lineRule="auto"/>
              <w:jc w:val="right"/>
              <w:rPr>
                <w:rFonts w:ascii="Times New Roman" w:eastAsia="Times New Roman" w:hAnsi="Times New Roman" w:cs="Times New Roman"/>
                <w:b/>
                <w:lang w:val="en-US" w:eastAsia="bg-BG"/>
              </w:rPr>
            </w:pPr>
            <w:r w:rsidRPr="005D78C4">
              <w:rPr>
                <w:rFonts w:ascii="Times New Roman" w:eastAsia="Times New Roman" w:hAnsi="Times New Roman" w:cs="Times New Roman"/>
                <w:b/>
                <w:lang w:val="en-US" w:eastAsia="bg-BG"/>
              </w:rPr>
              <w:t>0</w:t>
            </w:r>
          </w:p>
        </w:tc>
      </w:tr>
      <w:tr w:rsidR="00C102BF" w:rsidRPr="005D78C4" w14:paraId="28021166" w14:textId="77777777" w:rsidTr="001B64D2">
        <w:trPr>
          <w:trHeight w:val="315"/>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57303BA7" w14:textId="77777777" w:rsidR="00451EC5" w:rsidRPr="005D78C4" w:rsidRDefault="00451EC5" w:rsidP="00DB66D9">
            <w:pPr>
              <w:spacing w:after="40" w:line="264" w:lineRule="auto"/>
              <w:jc w:val="both"/>
              <w:rPr>
                <w:rFonts w:ascii="Times New Roman" w:eastAsia="Times New Roman" w:hAnsi="Times New Roman" w:cs="Times New Roman"/>
                <w:i/>
                <w:iCs/>
                <w:sz w:val="16"/>
                <w:szCs w:val="16"/>
                <w:lang w:eastAsia="bg-BG"/>
              </w:rPr>
            </w:pPr>
            <w:r w:rsidRPr="005D78C4">
              <w:rPr>
                <w:rFonts w:ascii="Times New Roman" w:eastAsia="Times New Roman" w:hAnsi="Times New Roman" w:cs="Times New Roman"/>
                <w:b/>
                <w:bCs/>
                <w:i/>
                <w:iCs/>
                <w:lang w:eastAsia="bg-BG"/>
              </w:rPr>
              <w:t>Неданъчни приходи</w:t>
            </w:r>
          </w:p>
        </w:tc>
        <w:tc>
          <w:tcPr>
            <w:tcW w:w="1136" w:type="dxa"/>
            <w:tcBorders>
              <w:top w:val="nil"/>
              <w:left w:val="nil"/>
              <w:bottom w:val="single" w:sz="8" w:space="0" w:color="auto"/>
              <w:right w:val="single" w:sz="8" w:space="0" w:color="auto"/>
            </w:tcBorders>
            <w:shd w:val="clear" w:color="000000" w:fill="FFFFFF"/>
            <w:vAlign w:val="center"/>
            <w:hideMark/>
          </w:tcPr>
          <w:p w14:paraId="706D6A41" w14:textId="364F2C70" w:rsidR="00451EC5" w:rsidRPr="005D78C4" w:rsidRDefault="000F7927" w:rsidP="00DB66D9">
            <w:pPr>
              <w:spacing w:after="40" w:line="264" w:lineRule="auto"/>
              <w:jc w:val="right"/>
              <w:rPr>
                <w:rFonts w:ascii="Times New Roman" w:eastAsia="Times New Roman" w:hAnsi="Times New Roman" w:cs="Times New Roman"/>
                <w:b/>
                <w:bCs/>
                <w:lang w:val="en-US" w:eastAsia="bg-BG"/>
              </w:rPr>
            </w:pPr>
            <w:r w:rsidRPr="005D78C4">
              <w:rPr>
                <w:rFonts w:ascii="Times New Roman" w:eastAsia="Times New Roman" w:hAnsi="Times New Roman" w:cs="Times New Roman"/>
                <w:b/>
                <w:bCs/>
                <w:lang w:eastAsia="bg-BG"/>
              </w:rPr>
              <w:t>7</w:t>
            </w:r>
            <w:r w:rsidR="00451EC5" w:rsidRPr="005D78C4">
              <w:rPr>
                <w:rFonts w:ascii="Times New Roman" w:eastAsia="Times New Roman" w:hAnsi="Times New Roman" w:cs="Times New Roman"/>
                <w:b/>
                <w:bCs/>
                <w:lang w:val="en-US" w:eastAsia="bg-BG"/>
              </w:rPr>
              <w:t xml:space="preserve"> </w:t>
            </w:r>
            <w:r w:rsidR="00C102BF" w:rsidRPr="005D78C4">
              <w:rPr>
                <w:rFonts w:ascii="Times New Roman" w:eastAsia="Times New Roman" w:hAnsi="Times New Roman" w:cs="Times New Roman"/>
                <w:b/>
                <w:bCs/>
                <w:lang w:val="en-US" w:eastAsia="bg-BG"/>
              </w:rPr>
              <w:t>2</w:t>
            </w:r>
            <w:r w:rsidR="00451EC5" w:rsidRPr="005D78C4">
              <w:rPr>
                <w:rFonts w:ascii="Times New Roman" w:eastAsia="Times New Roman" w:hAnsi="Times New Roman" w:cs="Times New Roman"/>
                <w:b/>
                <w:bCs/>
                <w:lang w:val="en-US" w:eastAsia="bg-BG"/>
              </w:rPr>
              <w:t>00 000</w:t>
            </w:r>
          </w:p>
        </w:tc>
        <w:tc>
          <w:tcPr>
            <w:tcW w:w="1278" w:type="dxa"/>
            <w:tcBorders>
              <w:top w:val="nil"/>
              <w:left w:val="nil"/>
              <w:bottom w:val="single" w:sz="8" w:space="0" w:color="auto"/>
              <w:right w:val="single" w:sz="8" w:space="0" w:color="auto"/>
            </w:tcBorders>
            <w:shd w:val="clear" w:color="000000" w:fill="FFFFFF"/>
            <w:vAlign w:val="center"/>
            <w:hideMark/>
          </w:tcPr>
          <w:p w14:paraId="309231BB" w14:textId="03E61908" w:rsidR="00451EC5" w:rsidRPr="005D78C4" w:rsidRDefault="000F7927" w:rsidP="00DB66D9">
            <w:pPr>
              <w:spacing w:after="40" w:line="264" w:lineRule="auto"/>
              <w:jc w:val="right"/>
              <w:rPr>
                <w:rFonts w:ascii="Times New Roman" w:eastAsia="Times New Roman" w:hAnsi="Times New Roman" w:cs="Times New Roman"/>
                <w:b/>
                <w:bCs/>
                <w:lang w:val="en-US" w:eastAsia="bg-BG"/>
              </w:rPr>
            </w:pPr>
            <w:r w:rsidRPr="005D78C4">
              <w:rPr>
                <w:rFonts w:ascii="Times New Roman" w:eastAsia="Times New Roman" w:hAnsi="Times New Roman" w:cs="Times New Roman"/>
                <w:b/>
                <w:bCs/>
                <w:lang w:eastAsia="bg-BG"/>
              </w:rPr>
              <w:t>7</w:t>
            </w:r>
            <w:r w:rsidR="00C102BF" w:rsidRPr="005D78C4">
              <w:rPr>
                <w:rFonts w:ascii="Times New Roman" w:eastAsia="Times New Roman" w:hAnsi="Times New Roman" w:cs="Times New Roman"/>
                <w:b/>
                <w:bCs/>
                <w:lang w:val="en-US" w:eastAsia="bg-BG"/>
              </w:rPr>
              <w:t xml:space="preserve"> 2</w:t>
            </w:r>
            <w:r w:rsidR="00451EC5" w:rsidRPr="005D78C4">
              <w:rPr>
                <w:rFonts w:ascii="Times New Roman" w:eastAsia="Times New Roman" w:hAnsi="Times New Roman" w:cs="Times New Roman"/>
                <w:b/>
                <w:bCs/>
                <w:lang w:val="en-US" w:eastAsia="bg-BG"/>
              </w:rPr>
              <w:t>00 000</w:t>
            </w:r>
          </w:p>
        </w:tc>
        <w:tc>
          <w:tcPr>
            <w:tcW w:w="1065" w:type="dxa"/>
            <w:tcBorders>
              <w:top w:val="nil"/>
              <w:left w:val="nil"/>
              <w:bottom w:val="single" w:sz="8" w:space="0" w:color="auto"/>
              <w:right w:val="single" w:sz="8" w:space="0" w:color="auto"/>
            </w:tcBorders>
            <w:shd w:val="clear" w:color="000000" w:fill="FFFFFF"/>
            <w:vAlign w:val="center"/>
            <w:hideMark/>
          </w:tcPr>
          <w:p w14:paraId="738A9EFC" w14:textId="4792BB78" w:rsidR="00451EC5" w:rsidRPr="005D78C4" w:rsidRDefault="008F292A" w:rsidP="00DB66D9">
            <w:pPr>
              <w:spacing w:after="40" w:line="264" w:lineRule="auto"/>
              <w:jc w:val="right"/>
              <w:rPr>
                <w:rFonts w:ascii="Times New Roman" w:eastAsia="Times New Roman" w:hAnsi="Times New Roman" w:cs="Times New Roman"/>
                <w:b/>
                <w:bCs/>
                <w:lang w:val="en-US" w:eastAsia="bg-BG"/>
              </w:rPr>
            </w:pPr>
            <w:r w:rsidRPr="005D78C4">
              <w:rPr>
                <w:rFonts w:ascii="Times New Roman" w:eastAsia="Times New Roman" w:hAnsi="Times New Roman" w:cs="Times New Roman"/>
                <w:b/>
                <w:bCs/>
                <w:lang w:eastAsia="bg-BG"/>
              </w:rPr>
              <w:t>2</w:t>
            </w:r>
            <w:r w:rsidR="003308E2" w:rsidRPr="005D78C4">
              <w:rPr>
                <w:rFonts w:ascii="Times New Roman" w:eastAsia="Times New Roman" w:hAnsi="Times New Roman" w:cs="Times New Roman"/>
                <w:b/>
                <w:bCs/>
                <w:lang w:val="en-US" w:eastAsia="bg-BG"/>
              </w:rPr>
              <w:t> </w:t>
            </w:r>
            <w:r w:rsidRPr="005D78C4">
              <w:rPr>
                <w:rFonts w:ascii="Times New Roman" w:eastAsia="Times New Roman" w:hAnsi="Times New Roman" w:cs="Times New Roman"/>
                <w:b/>
                <w:bCs/>
                <w:lang w:eastAsia="bg-BG"/>
              </w:rPr>
              <w:t>0</w:t>
            </w:r>
            <w:r w:rsidR="00C102BF" w:rsidRPr="005D78C4">
              <w:rPr>
                <w:rFonts w:ascii="Times New Roman" w:eastAsia="Times New Roman" w:hAnsi="Times New Roman" w:cs="Times New Roman"/>
                <w:b/>
                <w:bCs/>
                <w:lang w:val="en-US" w:eastAsia="bg-BG"/>
              </w:rPr>
              <w:t>73</w:t>
            </w:r>
            <w:r w:rsidR="003308E2" w:rsidRPr="005D78C4">
              <w:rPr>
                <w:rFonts w:ascii="Times New Roman" w:eastAsia="Times New Roman" w:hAnsi="Times New Roman" w:cs="Times New Roman"/>
                <w:b/>
                <w:bCs/>
                <w:lang w:eastAsia="bg-BG"/>
              </w:rPr>
              <w:t xml:space="preserve"> </w:t>
            </w:r>
            <w:r w:rsidR="00C102BF" w:rsidRPr="005D78C4">
              <w:rPr>
                <w:rFonts w:ascii="Times New Roman" w:eastAsia="Times New Roman" w:hAnsi="Times New Roman" w:cs="Times New Roman"/>
                <w:b/>
                <w:bCs/>
                <w:lang w:val="en-US" w:eastAsia="bg-BG"/>
              </w:rPr>
              <w:t>723</w:t>
            </w:r>
          </w:p>
        </w:tc>
      </w:tr>
      <w:tr w:rsidR="00C102BF" w:rsidRPr="005D78C4" w14:paraId="1E812DAF" w14:textId="77777777" w:rsidTr="001B64D2">
        <w:trPr>
          <w:trHeight w:val="315"/>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7262469A" w14:textId="77777777" w:rsidR="00451EC5" w:rsidRPr="005D78C4" w:rsidRDefault="00451EC5" w:rsidP="00DB66D9">
            <w:pPr>
              <w:spacing w:after="40" w:line="264" w:lineRule="auto"/>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Приходи и доходи от собственост</w:t>
            </w:r>
          </w:p>
        </w:tc>
        <w:tc>
          <w:tcPr>
            <w:tcW w:w="1136" w:type="dxa"/>
            <w:tcBorders>
              <w:top w:val="nil"/>
              <w:left w:val="nil"/>
              <w:bottom w:val="single" w:sz="8" w:space="0" w:color="auto"/>
              <w:right w:val="single" w:sz="8" w:space="0" w:color="auto"/>
            </w:tcBorders>
            <w:shd w:val="clear" w:color="auto" w:fill="auto"/>
            <w:vAlign w:val="center"/>
            <w:hideMark/>
          </w:tcPr>
          <w:p w14:paraId="3F3B65E6" w14:textId="77777777" w:rsidR="00451EC5" w:rsidRPr="005D78C4" w:rsidRDefault="00451EC5"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0</w:t>
            </w:r>
          </w:p>
        </w:tc>
        <w:tc>
          <w:tcPr>
            <w:tcW w:w="1278" w:type="dxa"/>
            <w:tcBorders>
              <w:top w:val="nil"/>
              <w:left w:val="nil"/>
              <w:bottom w:val="single" w:sz="8" w:space="0" w:color="auto"/>
              <w:right w:val="single" w:sz="8" w:space="0" w:color="auto"/>
            </w:tcBorders>
            <w:shd w:val="clear" w:color="auto" w:fill="auto"/>
            <w:vAlign w:val="center"/>
            <w:hideMark/>
          </w:tcPr>
          <w:p w14:paraId="64C10E61" w14:textId="77777777" w:rsidR="00451EC5" w:rsidRPr="005D78C4" w:rsidRDefault="00451EC5"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0</w:t>
            </w:r>
          </w:p>
        </w:tc>
        <w:tc>
          <w:tcPr>
            <w:tcW w:w="1065" w:type="dxa"/>
            <w:tcBorders>
              <w:top w:val="nil"/>
              <w:left w:val="nil"/>
              <w:bottom w:val="single" w:sz="8" w:space="0" w:color="auto"/>
              <w:right w:val="single" w:sz="8" w:space="0" w:color="auto"/>
            </w:tcBorders>
            <w:shd w:val="clear" w:color="auto" w:fill="auto"/>
            <w:vAlign w:val="center"/>
            <w:hideMark/>
          </w:tcPr>
          <w:p w14:paraId="5D5199AB" w14:textId="23BE75C2" w:rsidR="00451EC5" w:rsidRPr="005D78C4" w:rsidRDefault="00C102BF" w:rsidP="00DB66D9">
            <w:pPr>
              <w:spacing w:after="40" w:line="264" w:lineRule="auto"/>
              <w:jc w:val="right"/>
              <w:rPr>
                <w:rFonts w:ascii="Times New Roman" w:eastAsia="Times New Roman" w:hAnsi="Times New Roman" w:cs="Times New Roman"/>
                <w:lang w:val="en-US" w:eastAsia="bg-BG"/>
              </w:rPr>
            </w:pPr>
            <w:r w:rsidRPr="005D78C4">
              <w:rPr>
                <w:rFonts w:ascii="Times New Roman" w:eastAsia="Times New Roman" w:hAnsi="Times New Roman" w:cs="Times New Roman"/>
                <w:lang w:val="en-US" w:eastAsia="bg-BG"/>
              </w:rPr>
              <w:t>10</w:t>
            </w:r>
          </w:p>
        </w:tc>
      </w:tr>
      <w:tr w:rsidR="00C102BF" w:rsidRPr="005D78C4" w14:paraId="76CE9E62" w14:textId="77777777" w:rsidTr="001B64D2">
        <w:trPr>
          <w:trHeight w:val="315"/>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5CC25004" w14:textId="77777777" w:rsidR="00451EC5" w:rsidRPr="005D78C4" w:rsidRDefault="00451EC5" w:rsidP="00DB66D9">
            <w:pPr>
              <w:spacing w:after="40" w:line="264" w:lineRule="auto"/>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Държавни такси</w:t>
            </w:r>
          </w:p>
        </w:tc>
        <w:tc>
          <w:tcPr>
            <w:tcW w:w="1136" w:type="dxa"/>
            <w:tcBorders>
              <w:top w:val="nil"/>
              <w:left w:val="nil"/>
              <w:bottom w:val="single" w:sz="8" w:space="0" w:color="auto"/>
              <w:right w:val="single" w:sz="8" w:space="0" w:color="auto"/>
            </w:tcBorders>
            <w:shd w:val="clear" w:color="auto" w:fill="auto"/>
            <w:vAlign w:val="center"/>
            <w:hideMark/>
          </w:tcPr>
          <w:p w14:paraId="25848132" w14:textId="5A70C4BA" w:rsidR="00451EC5" w:rsidRPr="005D78C4" w:rsidRDefault="00C102BF"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4 2</w:t>
            </w:r>
            <w:r w:rsidR="00451EC5" w:rsidRPr="005D78C4">
              <w:rPr>
                <w:rFonts w:ascii="Times New Roman" w:eastAsia="Times New Roman" w:hAnsi="Times New Roman" w:cs="Times New Roman"/>
                <w:lang w:eastAsia="bg-BG"/>
              </w:rPr>
              <w:t>00 000</w:t>
            </w:r>
          </w:p>
        </w:tc>
        <w:tc>
          <w:tcPr>
            <w:tcW w:w="1278" w:type="dxa"/>
            <w:tcBorders>
              <w:top w:val="nil"/>
              <w:left w:val="nil"/>
              <w:bottom w:val="single" w:sz="8" w:space="0" w:color="auto"/>
              <w:right w:val="single" w:sz="8" w:space="0" w:color="auto"/>
            </w:tcBorders>
            <w:shd w:val="clear" w:color="auto" w:fill="auto"/>
            <w:vAlign w:val="center"/>
            <w:hideMark/>
          </w:tcPr>
          <w:p w14:paraId="675D2989" w14:textId="10ABA0CC" w:rsidR="00451EC5" w:rsidRPr="005D78C4" w:rsidRDefault="00451EC5"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 xml:space="preserve">4 </w:t>
            </w:r>
            <w:r w:rsidR="00C102BF" w:rsidRPr="005D78C4">
              <w:rPr>
                <w:rFonts w:ascii="Times New Roman" w:eastAsia="Times New Roman" w:hAnsi="Times New Roman" w:cs="Times New Roman"/>
                <w:lang w:val="en-US" w:eastAsia="bg-BG"/>
              </w:rPr>
              <w:t>2</w:t>
            </w:r>
            <w:r w:rsidRPr="005D78C4">
              <w:rPr>
                <w:rFonts w:ascii="Times New Roman" w:eastAsia="Times New Roman" w:hAnsi="Times New Roman" w:cs="Times New Roman"/>
                <w:lang w:eastAsia="bg-BG"/>
              </w:rPr>
              <w:t>00 000</w:t>
            </w:r>
          </w:p>
        </w:tc>
        <w:tc>
          <w:tcPr>
            <w:tcW w:w="1065" w:type="dxa"/>
            <w:tcBorders>
              <w:top w:val="nil"/>
              <w:left w:val="nil"/>
              <w:bottom w:val="single" w:sz="8" w:space="0" w:color="auto"/>
              <w:right w:val="single" w:sz="8" w:space="0" w:color="auto"/>
            </w:tcBorders>
            <w:shd w:val="clear" w:color="auto" w:fill="auto"/>
            <w:vAlign w:val="center"/>
            <w:hideMark/>
          </w:tcPr>
          <w:p w14:paraId="7C0F6CD2" w14:textId="4ACE2ABD" w:rsidR="00451EC5" w:rsidRPr="005D78C4" w:rsidRDefault="00451EC5" w:rsidP="00DB66D9">
            <w:pPr>
              <w:spacing w:after="40" w:line="264" w:lineRule="auto"/>
              <w:jc w:val="right"/>
              <w:rPr>
                <w:rFonts w:ascii="Times New Roman" w:eastAsia="Times New Roman" w:hAnsi="Times New Roman" w:cs="Times New Roman"/>
                <w:lang w:val="en-US" w:eastAsia="bg-BG"/>
              </w:rPr>
            </w:pPr>
            <w:r w:rsidRPr="005D78C4">
              <w:rPr>
                <w:rFonts w:ascii="Times New Roman" w:eastAsia="Times New Roman" w:hAnsi="Times New Roman" w:cs="Times New Roman"/>
                <w:lang w:eastAsia="bg-BG"/>
              </w:rPr>
              <w:t>1</w:t>
            </w:r>
            <w:r w:rsidR="003308E2" w:rsidRPr="005D78C4">
              <w:rPr>
                <w:rFonts w:ascii="Times New Roman" w:eastAsia="Times New Roman" w:hAnsi="Times New Roman" w:cs="Times New Roman"/>
                <w:lang w:eastAsia="bg-BG"/>
              </w:rPr>
              <w:t> </w:t>
            </w:r>
            <w:r w:rsidR="00C102BF" w:rsidRPr="005D78C4">
              <w:rPr>
                <w:rFonts w:ascii="Times New Roman" w:eastAsia="Times New Roman" w:hAnsi="Times New Roman" w:cs="Times New Roman"/>
                <w:lang w:val="en-US" w:eastAsia="bg-BG"/>
              </w:rPr>
              <w:t>531</w:t>
            </w:r>
            <w:r w:rsidR="003308E2" w:rsidRPr="005D78C4">
              <w:rPr>
                <w:rFonts w:ascii="Times New Roman" w:eastAsia="Times New Roman" w:hAnsi="Times New Roman" w:cs="Times New Roman"/>
                <w:lang w:eastAsia="bg-BG"/>
              </w:rPr>
              <w:t xml:space="preserve"> </w:t>
            </w:r>
            <w:r w:rsidR="00C102BF" w:rsidRPr="005D78C4">
              <w:rPr>
                <w:rFonts w:ascii="Times New Roman" w:eastAsia="Times New Roman" w:hAnsi="Times New Roman" w:cs="Times New Roman"/>
                <w:lang w:val="en-US" w:eastAsia="bg-BG"/>
              </w:rPr>
              <w:t>542</w:t>
            </w:r>
          </w:p>
        </w:tc>
      </w:tr>
      <w:tr w:rsidR="00C102BF" w:rsidRPr="005D78C4" w14:paraId="56A53658" w14:textId="77777777" w:rsidTr="001B64D2">
        <w:trPr>
          <w:trHeight w:val="315"/>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6F9F1D98" w14:textId="77777777" w:rsidR="00451EC5" w:rsidRPr="005D78C4" w:rsidRDefault="00451EC5" w:rsidP="00DB66D9">
            <w:pPr>
              <w:spacing w:after="40" w:line="264" w:lineRule="auto"/>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Глоби, санкции и наказателни лихви</w:t>
            </w:r>
          </w:p>
        </w:tc>
        <w:tc>
          <w:tcPr>
            <w:tcW w:w="1136" w:type="dxa"/>
            <w:tcBorders>
              <w:top w:val="nil"/>
              <w:left w:val="nil"/>
              <w:bottom w:val="single" w:sz="8" w:space="0" w:color="auto"/>
              <w:right w:val="single" w:sz="8" w:space="0" w:color="auto"/>
            </w:tcBorders>
            <w:shd w:val="clear" w:color="auto" w:fill="auto"/>
            <w:vAlign w:val="center"/>
            <w:hideMark/>
          </w:tcPr>
          <w:p w14:paraId="463F4422" w14:textId="52ED1A84" w:rsidR="00451EC5" w:rsidRPr="005D78C4" w:rsidRDefault="000F7927"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3</w:t>
            </w:r>
            <w:r w:rsidR="00451EC5" w:rsidRPr="005D78C4">
              <w:rPr>
                <w:rFonts w:ascii="Times New Roman" w:eastAsia="Times New Roman" w:hAnsi="Times New Roman" w:cs="Times New Roman"/>
                <w:lang w:eastAsia="bg-BG"/>
              </w:rPr>
              <w:t xml:space="preserve"> 000 000</w:t>
            </w:r>
          </w:p>
        </w:tc>
        <w:tc>
          <w:tcPr>
            <w:tcW w:w="1278" w:type="dxa"/>
            <w:tcBorders>
              <w:top w:val="nil"/>
              <w:left w:val="nil"/>
              <w:bottom w:val="single" w:sz="8" w:space="0" w:color="auto"/>
              <w:right w:val="single" w:sz="8" w:space="0" w:color="auto"/>
            </w:tcBorders>
            <w:shd w:val="clear" w:color="auto" w:fill="auto"/>
            <w:vAlign w:val="center"/>
            <w:hideMark/>
          </w:tcPr>
          <w:p w14:paraId="0425A632" w14:textId="7571592F" w:rsidR="00451EC5" w:rsidRPr="005D78C4" w:rsidRDefault="000F7927"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3</w:t>
            </w:r>
            <w:r w:rsidR="00451EC5" w:rsidRPr="005D78C4">
              <w:rPr>
                <w:rFonts w:ascii="Times New Roman" w:eastAsia="Times New Roman" w:hAnsi="Times New Roman" w:cs="Times New Roman"/>
                <w:lang w:eastAsia="bg-BG"/>
              </w:rPr>
              <w:t xml:space="preserve"> 000 000</w:t>
            </w:r>
          </w:p>
        </w:tc>
        <w:tc>
          <w:tcPr>
            <w:tcW w:w="1065" w:type="dxa"/>
            <w:tcBorders>
              <w:top w:val="nil"/>
              <w:left w:val="nil"/>
              <w:bottom w:val="single" w:sz="8" w:space="0" w:color="auto"/>
              <w:right w:val="single" w:sz="8" w:space="0" w:color="auto"/>
            </w:tcBorders>
            <w:shd w:val="clear" w:color="auto" w:fill="auto"/>
            <w:vAlign w:val="center"/>
            <w:hideMark/>
          </w:tcPr>
          <w:p w14:paraId="33657779" w14:textId="2151FA83" w:rsidR="00451EC5" w:rsidRPr="005D78C4" w:rsidRDefault="003308E2" w:rsidP="00DB66D9">
            <w:pPr>
              <w:spacing w:after="40" w:line="264" w:lineRule="auto"/>
              <w:jc w:val="right"/>
              <w:rPr>
                <w:rFonts w:ascii="Times New Roman" w:eastAsia="Times New Roman" w:hAnsi="Times New Roman" w:cs="Times New Roman"/>
                <w:lang w:val="en-US" w:eastAsia="bg-BG"/>
              </w:rPr>
            </w:pPr>
            <w:r w:rsidRPr="005D78C4">
              <w:rPr>
                <w:rFonts w:ascii="Times New Roman" w:eastAsia="Times New Roman" w:hAnsi="Times New Roman" w:cs="Times New Roman"/>
                <w:lang w:eastAsia="bg-BG"/>
              </w:rPr>
              <w:t> </w:t>
            </w:r>
            <w:r w:rsidR="00C102BF" w:rsidRPr="005D78C4">
              <w:rPr>
                <w:rFonts w:ascii="Times New Roman" w:eastAsia="Times New Roman" w:hAnsi="Times New Roman" w:cs="Times New Roman"/>
                <w:lang w:val="en-US" w:eastAsia="bg-BG"/>
              </w:rPr>
              <w:t>535</w:t>
            </w:r>
            <w:r w:rsidRPr="005D78C4">
              <w:rPr>
                <w:rFonts w:ascii="Times New Roman" w:eastAsia="Times New Roman" w:hAnsi="Times New Roman" w:cs="Times New Roman"/>
                <w:lang w:eastAsia="bg-BG"/>
              </w:rPr>
              <w:t xml:space="preserve"> </w:t>
            </w:r>
            <w:r w:rsidR="00C102BF" w:rsidRPr="005D78C4">
              <w:rPr>
                <w:rFonts w:ascii="Times New Roman" w:eastAsia="Times New Roman" w:hAnsi="Times New Roman" w:cs="Times New Roman"/>
                <w:lang w:val="en-US" w:eastAsia="bg-BG"/>
              </w:rPr>
              <w:t>789</w:t>
            </w:r>
          </w:p>
        </w:tc>
      </w:tr>
      <w:tr w:rsidR="00C102BF" w:rsidRPr="005D78C4" w14:paraId="40CFEE6D" w14:textId="77777777" w:rsidTr="001B64D2">
        <w:trPr>
          <w:trHeight w:val="315"/>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1B22C28F" w14:textId="77777777" w:rsidR="00451EC5" w:rsidRPr="005D78C4" w:rsidRDefault="00451EC5" w:rsidP="00DB66D9">
            <w:pPr>
              <w:spacing w:after="40" w:line="264" w:lineRule="auto"/>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Приходи от концесии</w:t>
            </w:r>
          </w:p>
        </w:tc>
        <w:tc>
          <w:tcPr>
            <w:tcW w:w="1136" w:type="dxa"/>
            <w:tcBorders>
              <w:top w:val="nil"/>
              <w:left w:val="nil"/>
              <w:bottom w:val="single" w:sz="8" w:space="0" w:color="auto"/>
              <w:right w:val="single" w:sz="8" w:space="0" w:color="auto"/>
            </w:tcBorders>
            <w:shd w:val="clear" w:color="auto" w:fill="auto"/>
            <w:vAlign w:val="center"/>
            <w:hideMark/>
          </w:tcPr>
          <w:p w14:paraId="1F8EB3B4" w14:textId="77777777" w:rsidR="00451EC5" w:rsidRPr="005D78C4" w:rsidRDefault="00451EC5"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0</w:t>
            </w:r>
          </w:p>
        </w:tc>
        <w:tc>
          <w:tcPr>
            <w:tcW w:w="1278" w:type="dxa"/>
            <w:tcBorders>
              <w:top w:val="nil"/>
              <w:left w:val="nil"/>
              <w:bottom w:val="single" w:sz="8" w:space="0" w:color="auto"/>
              <w:right w:val="single" w:sz="8" w:space="0" w:color="auto"/>
            </w:tcBorders>
            <w:shd w:val="clear" w:color="auto" w:fill="auto"/>
            <w:vAlign w:val="center"/>
            <w:hideMark/>
          </w:tcPr>
          <w:p w14:paraId="4090CC5E" w14:textId="77777777" w:rsidR="00451EC5" w:rsidRPr="005D78C4" w:rsidRDefault="00451EC5"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0</w:t>
            </w:r>
          </w:p>
        </w:tc>
        <w:tc>
          <w:tcPr>
            <w:tcW w:w="1065" w:type="dxa"/>
            <w:tcBorders>
              <w:top w:val="nil"/>
              <w:left w:val="nil"/>
              <w:bottom w:val="single" w:sz="8" w:space="0" w:color="auto"/>
              <w:right w:val="single" w:sz="8" w:space="0" w:color="auto"/>
            </w:tcBorders>
            <w:shd w:val="clear" w:color="auto" w:fill="auto"/>
            <w:vAlign w:val="center"/>
            <w:hideMark/>
          </w:tcPr>
          <w:p w14:paraId="0DFD1309" w14:textId="77777777" w:rsidR="00451EC5" w:rsidRPr="005D78C4" w:rsidRDefault="00451EC5"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0</w:t>
            </w:r>
          </w:p>
        </w:tc>
      </w:tr>
      <w:tr w:rsidR="00C102BF" w:rsidRPr="005D78C4" w14:paraId="2B565279" w14:textId="77777777" w:rsidTr="001B64D2">
        <w:trPr>
          <w:trHeight w:val="315"/>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03FAA13F" w14:textId="77777777" w:rsidR="00451EC5" w:rsidRPr="005D78C4" w:rsidRDefault="00451EC5" w:rsidP="00DB66D9">
            <w:pPr>
              <w:spacing w:after="40" w:line="264" w:lineRule="auto"/>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Други</w:t>
            </w:r>
          </w:p>
        </w:tc>
        <w:tc>
          <w:tcPr>
            <w:tcW w:w="1136" w:type="dxa"/>
            <w:tcBorders>
              <w:top w:val="nil"/>
              <w:left w:val="nil"/>
              <w:bottom w:val="single" w:sz="8" w:space="0" w:color="auto"/>
              <w:right w:val="single" w:sz="8" w:space="0" w:color="auto"/>
            </w:tcBorders>
            <w:shd w:val="clear" w:color="auto" w:fill="auto"/>
            <w:vAlign w:val="center"/>
            <w:hideMark/>
          </w:tcPr>
          <w:p w14:paraId="4108929A" w14:textId="77777777" w:rsidR="00451EC5" w:rsidRPr="005D78C4" w:rsidRDefault="00451EC5"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0</w:t>
            </w:r>
          </w:p>
        </w:tc>
        <w:tc>
          <w:tcPr>
            <w:tcW w:w="1278" w:type="dxa"/>
            <w:tcBorders>
              <w:top w:val="nil"/>
              <w:left w:val="nil"/>
              <w:bottom w:val="single" w:sz="8" w:space="0" w:color="auto"/>
              <w:right w:val="single" w:sz="8" w:space="0" w:color="auto"/>
            </w:tcBorders>
            <w:shd w:val="clear" w:color="auto" w:fill="auto"/>
            <w:vAlign w:val="center"/>
            <w:hideMark/>
          </w:tcPr>
          <w:p w14:paraId="00ECF7F0" w14:textId="77777777" w:rsidR="00451EC5" w:rsidRPr="005D78C4" w:rsidRDefault="00451EC5"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0</w:t>
            </w:r>
          </w:p>
        </w:tc>
        <w:tc>
          <w:tcPr>
            <w:tcW w:w="1065" w:type="dxa"/>
            <w:tcBorders>
              <w:top w:val="nil"/>
              <w:left w:val="nil"/>
              <w:bottom w:val="single" w:sz="8" w:space="0" w:color="auto"/>
              <w:right w:val="single" w:sz="8" w:space="0" w:color="auto"/>
            </w:tcBorders>
            <w:shd w:val="clear" w:color="auto" w:fill="auto"/>
            <w:vAlign w:val="center"/>
            <w:hideMark/>
          </w:tcPr>
          <w:p w14:paraId="1DF06B6F" w14:textId="41766FC4" w:rsidR="00451EC5" w:rsidRPr="005D78C4" w:rsidRDefault="00C102BF" w:rsidP="00DB66D9">
            <w:pPr>
              <w:spacing w:after="40" w:line="264" w:lineRule="auto"/>
              <w:jc w:val="right"/>
              <w:rPr>
                <w:rFonts w:ascii="Times New Roman" w:eastAsia="Times New Roman" w:hAnsi="Times New Roman" w:cs="Times New Roman"/>
                <w:lang w:val="en-US" w:eastAsia="bg-BG"/>
              </w:rPr>
            </w:pPr>
            <w:r w:rsidRPr="005D78C4">
              <w:rPr>
                <w:rFonts w:ascii="Times New Roman" w:eastAsia="Times New Roman" w:hAnsi="Times New Roman" w:cs="Times New Roman"/>
                <w:lang w:val="en-US" w:eastAsia="bg-BG"/>
              </w:rPr>
              <w:t>6</w:t>
            </w:r>
            <w:r w:rsidR="00451EC5" w:rsidRPr="005D78C4">
              <w:rPr>
                <w:rFonts w:ascii="Times New Roman" w:eastAsia="Times New Roman" w:hAnsi="Times New Roman" w:cs="Times New Roman"/>
                <w:lang w:eastAsia="bg-BG"/>
              </w:rPr>
              <w:t xml:space="preserve"> </w:t>
            </w:r>
            <w:r w:rsidRPr="005D78C4">
              <w:rPr>
                <w:rFonts w:ascii="Times New Roman" w:eastAsia="Times New Roman" w:hAnsi="Times New Roman" w:cs="Times New Roman"/>
                <w:lang w:val="en-US" w:eastAsia="bg-BG"/>
              </w:rPr>
              <w:t>382</w:t>
            </w:r>
          </w:p>
        </w:tc>
      </w:tr>
      <w:tr w:rsidR="00C102BF" w:rsidRPr="005D78C4" w14:paraId="32E974D1" w14:textId="77777777" w:rsidTr="001B64D2">
        <w:trPr>
          <w:trHeight w:val="315"/>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29A6C66F" w14:textId="77777777" w:rsidR="00451EC5" w:rsidRPr="005D78C4" w:rsidRDefault="00451EC5" w:rsidP="00DB66D9">
            <w:pPr>
              <w:spacing w:after="40" w:line="264" w:lineRule="auto"/>
              <w:jc w:val="both"/>
              <w:rPr>
                <w:rFonts w:ascii="Times New Roman" w:eastAsia="Times New Roman" w:hAnsi="Times New Roman" w:cs="Times New Roman"/>
                <w:b/>
                <w:bCs/>
                <w:i/>
                <w:iCs/>
                <w:lang w:eastAsia="bg-BG"/>
              </w:rPr>
            </w:pPr>
            <w:r w:rsidRPr="005D78C4">
              <w:rPr>
                <w:rFonts w:ascii="Times New Roman" w:eastAsia="Times New Roman" w:hAnsi="Times New Roman" w:cs="Times New Roman"/>
                <w:b/>
                <w:bCs/>
                <w:i/>
                <w:iCs/>
                <w:lang w:eastAsia="bg-BG"/>
              </w:rPr>
              <w:t>Помощи, дарения и други безвъзмездно получени суми</w:t>
            </w:r>
          </w:p>
        </w:tc>
        <w:tc>
          <w:tcPr>
            <w:tcW w:w="1136" w:type="dxa"/>
            <w:tcBorders>
              <w:top w:val="nil"/>
              <w:left w:val="nil"/>
              <w:bottom w:val="single" w:sz="8" w:space="0" w:color="auto"/>
              <w:right w:val="single" w:sz="8" w:space="0" w:color="auto"/>
            </w:tcBorders>
            <w:shd w:val="clear" w:color="auto" w:fill="auto"/>
            <w:vAlign w:val="center"/>
            <w:hideMark/>
          </w:tcPr>
          <w:p w14:paraId="7E1763AE" w14:textId="77777777" w:rsidR="00451EC5" w:rsidRPr="005D78C4" w:rsidRDefault="00451EC5" w:rsidP="00DB66D9">
            <w:pPr>
              <w:spacing w:after="40" w:line="264" w:lineRule="auto"/>
              <w:jc w:val="right"/>
              <w:rPr>
                <w:rFonts w:ascii="Times New Roman" w:eastAsia="Times New Roman" w:hAnsi="Times New Roman" w:cs="Times New Roman"/>
                <w:b/>
                <w:lang w:eastAsia="bg-BG"/>
              </w:rPr>
            </w:pPr>
            <w:r w:rsidRPr="005D78C4">
              <w:rPr>
                <w:rFonts w:ascii="Times New Roman" w:eastAsia="Times New Roman" w:hAnsi="Times New Roman" w:cs="Times New Roman"/>
                <w:b/>
                <w:lang w:eastAsia="bg-BG"/>
              </w:rPr>
              <w:t>0</w:t>
            </w:r>
          </w:p>
        </w:tc>
        <w:tc>
          <w:tcPr>
            <w:tcW w:w="1278" w:type="dxa"/>
            <w:tcBorders>
              <w:top w:val="nil"/>
              <w:left w:val="nil"/>
              <w:bottom w:val="single" w:sz="8" w:space="0" w:color="auto"/>
              <w:right w:val="single" w:sz="8" w:space="0" w:color="auto"/>
            </w:tcBorders>
            <w:shd w:val="clear" w:color="auto" w:fill="auto"/>
            <w:vAlign w:val="center"/>
            <w:hideMark/>
          </w:tcPr>
          <w:p w14:paraId="6257FA1D" w14:textId="77777777" w:rsidR="00451EC5" w:rsidRPr="005D78C4" w:rsidRDefault="00451EC5" w:rsidP="00DB66D9">
            <w:pPr>
              <w:spacing w:after="40" w:line="264" w:lineRule="auto"/>
              <w:jc w:val="right"/>
              <w:rPr>
                <w:rFonts w:ascii="Times New Roman" w:eastAsia="Times New Roman" w:hAnsi="Times New Roman" w:cs="Times New Roman"/>
                <w:b/>
                <w:lang w:eastAsia="bg-BG"/>
              </w:rPr>
            </w:pPr>
            <w:r w:rsidRPr="005D78C4">
              <w:rPr>
                <w:rFonts w:ascii="Times New Roman" w:eastAsia="Times New Roman" w:hAnsi="Times New Roman" w:cs="Times New Roman"/>
                <w:b/>
                <w:lang w:eastAsia="bg-BG"/>
              </w:rPr>
              <w:t>0</w:t>
            </w:r>
          </w:p>
        </w:tc>
        <w:tc>
          <w:tcPr>
            <w:tcW w:w="1065" w:type="dxa"/>
            <w:tcBorders>
              <w:top w:val="nil"/>
              <w:left w:val="nil"/>
              <w:bottom w:val="single" w:sz="8" w:space="0" w:color="auto"/>
              <w:right w:val="single" w:sz="8" w:space="0" w:color="auto"/>
            </w:tcBorders>
            <w:shd w:val="clear" w:color="auto" w:fill="auto"/>
            <w:vAlign w:val="center"/>
            <w:hideMark/>
          </w:tcPr>
          <w:p w14:paraId="64232258" w14:textId="77777777" w:rsidR="00451EC5" w:rsidRPr="005D78C4" w:rsidRDefault="00451EC5" w:rsidP="00DB66D9">
            <w:pPr>
              <w:spacing w:after="40" w:line="264" w:lineRule="auto"/>
              <w:jc w:val="right"/>
              <w:rPr>
                <w:rFonts w:ascii="Times New Roman" w:eastAsia="Times New Roman" w:hAnsi="Times New Roman" w:cs="Times New Roman"/>
                <w:b/>
                <w:lang w:eastAsia="bg-BG"/>
              </w:rPr>
            </w:pPr>
            <w:r w:rsidRPr="005D78C4">
              <w:rPr>
                <w:rFonts w:ascii="Times New Roman" w:eastAsia="Times New Roman" w:hAnsi="Times New Roman" w:cs="Times New Roman"/>
                <w:b/>
                <w:lang w:eastAsia="bg-BG"/>
              </w:rPr>
              <w:t>0</w:t>
            </w:r>
          </w:p>
        </w:tc>
      </w:tr>
    </w:tbl>
    <w:p w14:paraId="5CE01602" w14:textId="77777777" w:rsidR="00451EC5" w:rsidRPr="005D78C4" w:rsidRDefault="00451EC5" w:rsidP="00DB66D9">
      <w:pPr>
        <w:shd w:val="clear" w:color="auto" w:fill="FFFFFF"/>
        <w:spacing w:after="40" w:line="264" w:lineRule="auto"/>
        <w:ind w:right="14" w:firstLine="851"/>
        <w:jc w:val="both"/>
        <w:rPr>
          <w:sz w:val="24"/>
        </w:rPr>
      </w:pPr>
      <w:r w:rsidRPr="005D78C4">
        <w:rPr>
          <w:sz w:val="24"/>
        </w:rPr>
        <w:t xml:space="preserve"> </w:t>
      </w:r>
    </w:p>
    <w:p w14:paraId="6D34DD57" w14:textId="613CFF63" w:rsidR="005D6647" w:rsidRPr="005D78C4" w:rsidRDefault="005D6647" w:rsidP="00DB66D9">
      <w:pPr>
        <w:pStyle w:val="ListParagraph"/>
        <w:numPr>
          <w:ilvl w:val="1"/>
          <w:numId w:val="27"/>
        </w:numPr>
        <w:spacing w:after="40" w:line="264" w:lineRule="auto"/>
        <w:ind w:left="0" w:firstLine="709"/>
        <w:jc w:val="both"/>
        <w:rPr>
          <w:rFonts w:ascii="Times New Roman" w:hAnsi="Times New Roman" w:cs="Times New Roman"/>
        </w:rPr>
      </w:pPr>
      <w:r w:rsidRPr="005D78C4">
        <w:rPr>
          <w:rFonts w:ascii="Times New Roman" w:eastAsia="Times New Roman" w:hAnsi="Times New Roman" w:cs="Times New Roman"/>
          <w:b/>
          <w:lang w:eastAsia="bg-BG"/>
        </w:rPr>
        <w:t>Приходи и доходи от собственост</w:t>
      </w:r>
      <w:r w:rsidRPr="005D78C4">
        <w:rPr>
          <w:rFonts w:ascii="Times New Roman" w:hAnsi="Times New Roman" w:cs="Times New Roman"/>
        </w:rPr>
        <w:t xml:space="preserve"> - приходи от лихви в размер на </w:t>
      </w:r>
      <w:r w:rsidR="0038199F" w:rsidRPr="005D78C4">
        <w:rPr>
          <w:rFonts w:ascii="Times New Roman" w:hAnsi="Times New Roman" w:cs="Times New Roman"/>
          <w:lang w:val="en-US"/>
        </w:rPr>
        <w:t>10</w:t>
      </w:r>
      <w:r w:rsidRPr="005D78C4">
        <w:rPr>
          <w:rFonts w:ascii="Times New Roman" w:hAnsi="Times New Roman" w:cs="Times New Roman"/>
        </w:rPr>
        <w:t xml:space="preserve"> лв., изплатени по валутната сметка на КЗК през 202</w:t>
      </w:r>
      <w:r w:rsidR="0038199F" w:rsidRPr="005D78C4">
        <w:rPr>
          <w:rFonts w:ascii="Times New Roman" w:hAnsi="Times New Roman" w:cs="Times New Roman"/>
          <w:lang w:val="en-US"/>
        </w:rPr>
        <w:t>5</w:t>
      </w:r>
      <w:r w:rsidRPr="005D78C4">
        <w:rPr>
          <w:rFonts w:ascii="Times New Roman" w:hAnsi="Times New Roman" w:cs="Times New Roman"/>
        </w:rPr>
        <w:t xml:space="preserve"> г.</w:t>
      </w:r>
    </w:p>
    <w:p w14:paraId="7EC464C7" w14:textId="591C8FAE" w:rsidR="005D6647" w:rsidRPr="005D78C4" w:rsidRDefault="005D6647" w:rsidP="00DB66D9">
      <w:pPr>
        <w:shd w:val="clear" w:color="auto" w:fill="FFFFFF"/>
        <w:tabs>
          <w:tab w:val="left" w:pos="993"/>
        </w:tabs>
        <w:spacing w:after="40" w:line="264" w:lineRule="auto"/>
        <w:ind w:left="10" w:right="14" w:firstLine="851"/>
        <w:jc w:val="both"/>
        <w:rPr>
          <w:rFonts w:ascii="Times New Roman" w:eastAsia="Batang" w:hAnsi="Times New Roman" w:cs="Times New Roman"/>
          <w:sz w:val="24"/>
          <w:szCs w:val="24"/>
          <w:lang w:eastAsia="bg-BG"/>
        </w:rPr>
      </w:pPr>
    </w:p>
    <w:p w14:paraId="14655EE8" w14:textId="49E44C10" w:rsidR="00451EC5" w:rsidRPr="005D78C4" w:rsidRDefault="005D6647" w:rsidP="00DB66D9">
      <w:pPr>
        <w:tabs>
          <w:tab w:val="left" w:pos="709"/>
          <w:tab w:val="left" w:pos="851"/>
          <w:tab w:val="left" w:pos="1276"/>
        </w:tabs>
        <w:spacing w:after="40" w:line="264" w:lineRule="auto"/>
        <w:jc w:val="both"/>
        <w:rPr>
          <w:rFonts w:ascii="Times New Roman" w:eastAsia="Batang" w:hAnsi="Times New Roman" w:cs="Times New Roman"/>
          <w:b/>
          <w:sz w:val="24"/>
          <w:szCs w:val="24"/>
          <w:lang w:eastAsia="bg-BG"/>
        </w:rPr>
      </w:pPr>
      <w:r w:rsidRPr="005D78C4">
        <w:rPr>
          <w:rFonts w:ascii="Times New Roman" w:eastAsia="Batang" w:hAnsi="Times New Roman" w:cs="Times New Roman"/>
          <w:b/>
          <w:sz w:val="24"/>
          <w:szCs w:val="24"/>
          <w:lang w:eastAsia="bg-BG"/>
        </w:rPr>
        <w:tab/>
        <w:t xml:space="preserve">1.2. </w:t>
      </w:r>
      <w:r w:rsidR="00451EC5" w:rsidRPr="005D78C4">
        <w:rPr>
          <w:rFonts w:ascii="Times New Roman" w:eastAsia="Batang" w:hAnsi="Times New Roman" w:cs="Times New Roman"/>
          <w:b/>
          <w:sz w:val="24"/>
          <w:szCs w:val="24"/>
          <w:lang w:eastAsia="bg-BG"/>
        </w:rPr>
        <w:t>Приходи от държавни такси</w:t>
      </w:r>
    </w:p>
    <w:p w14:paraId="1AA74ECE" w14:textId="77777777" w:rsidR="00591A8F" w:rsidRPr="005D78C4" w:rsidRDefault="00451EC5" w:rsidP="00C33ABA">
      <w:pPr>
        <w:spacing w:after="40" w:line="264" w:lineRule="auto"/>
        <w:ind w:firstLine="709"/>
        <w:jc w:val="both"/>
        <w:rPr>
          <w:rFonts w:ascii="Times New Roman" w:eastAsia="Batang" w:hAnsi="Times New Roman" w:cs="Times New Roman"/>
          <w:b/>
          <w:sz w:val="24"/>
          <w:szCs w:val="24"/>
          <w:lang w:eastAsia="bg-BG"/>
        </w:rPr>
      </w:pPr>
      <w:r w:rsidRPr="005D78C4">
        <w:rPr>
          <w:rFonts w:ascii="Times New Roman" w:eastAsia="Batang" w:hAnsi="Times New Roman" w:cs="Times New Roman"/>
          <w:sz w:val="24"/>
          <w:szCs w:val="24"/>
          <w:lang w:eastAsia="bg-BG"/>
        </w:rPr>
        <w:t>Държавните такси се събират на основание:</w:t>
      </w:r>
    </w:p>
    <w:p w14:paraId="0FF65D60" w14:textId="77777777" w:rsidR="00591A8F" w:rsidRPr="005D78C4" w:rsidRDefault="00451EC5" w:rsidP="00C33ABA">
      <w:pPr>
        <w:spacing w:after="40" w:line="264" w:lineRule="auto"/>
        <w:ind w:firstLine="709"/>
        <w:jc w:val="both"/>
        <w:rPr>
          <w:rFonts w:ascii="Times New Roman" w:eastAsia="Batang" w:hAnsi="Times New Roman" w:cs="Times New Roman"/>
          <w:b/>
          <w:sz w:val="24"/>
          <w:szCs w:val="24"/>
          <w:lang w:eastAsia="bg-BG"/>
        </w:rPr>
      </w:pPr>
      <w:r w:rsidRPr="005D78C4">
        <w:rPr>
          <w:rFonts w:ascii="Times New Roman" w:eastAsia="Batang" w:hAnsi="Times New Roman" w:cs="Times New Roman"/>
          <w:sz w:val="24"/>
          <w:szCs w:val="24"/>
          <w:lang w:eastAsia="bg-BG"/>
        </w:rPr>
        <w:t>- Тарифа за таксите, които се събират от Комисията за защита на конкуренцията по Закона за защита на конкуренцията (приета с ПМС № 180 от 10.08.1998 г. обн. ДВ. бр. 95 от 14.08.1998 г., посл. изм. ДВ, бр. 70 от 24.08.2018 г.);</w:t>
      </w:r>
    </w:p>
    <w:p w14:paraId="25B1B347" w14:textId="77777777" w:rsidR="00591A8F" w:rsidRPr="005D78C4" w:rsidRDefault="00451EC5" w:rsidP="00C33ABA">
      <w:pPr>
        <w:spacing w:after="40" w:line="264" w:lineRule="auto"/>
        <w:ind w:firstLine="709"/>
        <w:jc w:val="both"/>
        <w:rPr>
          <w:rFonts w:ascii="Times New Roman" w:eastAsia="Batang" w:hAnsi="Times New Roman" w:cs="Times New Roman"/>
          <w:b/>
          <w:sz w:val="24"/>
          <w:szCs w:val="24"/>
          <w:lang w:eastAsia="bg-BG"/>
        </w:rPr>
      </w:pPr>
      <w:r w:rsidRPr="005D78C4">
        <w:rPr>
          <w:rFonts w:ascii="Times New Roman" w:eastAsia="Batang" w:hAnsi="Times New Roman" w:cs="Times New Roman"/>
          <w:sz w:val="24"/>
          <w:szCs w:val="24"/>
          <w:lang w:eastAsia="bg-BG"/>
        </w:rPr>
        <w:t xml:space="preserve">-  Тарифа за таксите, които се събират за производствата по глава двадесет и седма от Закона за обществените поръчки пред Комисията за защита на конкуренцията и пред </w:t>
      </w:r>
      <w:r w:rsidRPr="005D78C4">
        <w:rPr>
          <w:rFonts w:ascii="Times New Roman" w:eastAsia="Batang" w:hAnsi="Times New Roman" w:cs="Times New Roman"/>
          <w:sz w:val="24"/>
          <w:szCs w:val="24"/>
          <w:lang w:eastAsia="bg-BG"/>
        </w:rPr>
        <w:lastRenderedPageBreak/>
        <w:t>Върховния административен съд (приета с ПМС № 73 от 05.04.2016 г., обн., ДВ, бр. 28 от 8.04.2016 г., в сила от 15.04.2016 г., доп. бр. 70 от 24.08.2018 г.) и</w:t>
      </w:r>
    </w:p>
    <w:p w14:paraId="7B818F72" w14:textId="77777777" w:rsidR="00591A8F" w:rsidRPr="005D78C4" w:rsidRDefault="00451EC5" w:rsidP="00C33ABA">
      <w:pPr>
        <w:spacing w:after="40" w:line="264" w:lineRule="auto"/>
        <w:ind w:firstLine="709"/>
        <w:jc w:val="both"/>
        <w:rPr>
          <w:rFonts w:ascii="Times New Roman" w:eastAsia="Batang" w:hAnsi="Times New Roman" w:cs="Times New Roman"/>
          <w:b/>
          <w:sz w:val="24"/>
          <w:szCs w:val="24"/>
          <w:lang w:eastAsia="bg-BG"/>
        </w:rPr>
      </w:pPr>
      <w:r w:rsidRPr="005D78C4">
        <w:rPr>
          <w:rFonts w:ascii="Times New Roman" w:eastAsia="Batang" w:hAnsi="Times New Roman" w:cs="Times New Roman"/>
          <w:sz w:val="24"/>
          <w:szCs w:val="24"/>
          <w:lang w:eastAsia="bg-BG"/>
        </w:rPr>
        <w:t xml:space="preserve">-  Тарифа за таксите, които се събират в производства по глава шеста от Закона за концесиите пред Комисията за защита на конкуренцията и пред Върховния административен съд (приета с ПМС № 177 от 20.08.2018 г., обн. ДВ бр. 70 от 24.08.2018 г., изм. и доп. бр.107 от 28.12.2018 г., в сила от 01.01.2019 г.). </w:t>
      </w:r>
    </w:p>
    <w:p w14:paraId="47EA8123" w14:textId="77777777" w:rsidR="00C33ABA" w:rsidRPr="005D78C4" w:rsidRDefault="00451EC5" w:rsidP="00C33ABA">
      <w:pPr>
        <w:spacing w:after="40" w:line="264" w:lineRule="auto"/>
        <w:ind w:firstLine="709"/>
        <w:jc w:val="both"/>
        <w:rPr>
          <w:rFonts w:ascii="Times New Roman" w:eastAsia="Batang" w:hAnsi="Times New Roman" w:cs="Times New Roman"/>
          <w:b/>
          <w:sz w:val="24"/>
          <w:szCs w:val="24"/>
          <w:lang w:eastAsia="bg-BG"/>
        </w:rPr>
      </w:pPr>
      <w:r w:rsidRPr="005D78C4">
        <w:rPr>
          <w:rFonts w:ascii="Times New Roman" w:eastAsia="Batang" w:hAnsi="Times New Roman" w:cs="Times New Roman"/>
          <w:sz w:val="24"/>
          <w:szCs w:val="24"/>
          <w:lang w:eastAsia="bg-BG"/>
        </w:rPr>
        <w:t>За първото полугодие на 202</w:t>
      </w:r>
      <w:r w:rsidR="0038199F" w:rsidRPr="005D78C4">
        <w:rPr>
          <w:rFonts w:ascii="Times New Roman" w:eastAsia="Batang" w:hAnsi="Times New Roman" w:cs="Times New Roman"/>
          <w:sz w:val="24"/>
          <w:szCs w:val="24"/>
          <w:lang w:val="en-US" w:eastAsia="bg-BG"/>
        </w:rPr>
        <w:t>5</w:t>
      </w:r>
      <w:r w:rsidRPr="005D78C4">
        <w:rPr>
          <w:rFonts w:ascii="Times New Roman" w:eastAsia="Batang" w:hAnsi="Times New Roman" w:cs="Times New Roman"/>
          <w:sz w:val="24"/>
          <w:szCs w:val="24"/>
          <w:lang w:eastAsia="bg-BG"/>
        </w:rPr>
        <w:t xml:space="preserve"> г. отчетените приходи от такси са в размер на 1 </w:t>
      </w:r>
      <w:r w:rsidR="0038199F" w:rsidRPr="005D78C4">
        <w:rPr>
          <w:rFonts w:ascii="Times New Roman" w:eastAsia="Batang" w:hAnsi="Times New Roman" w:cs="Times New Roman"/>
          <w:sz w:val="24"/>
          <w:szCs w:val="24"/>
          <w:lang w:val="en-US" w:eastAsia="bg-BG"/>
        </w:rPr>
        <w:t>531</w:t>
      </w:r>
      <w:r w:rsidRPr="005D78C4">
        <w:rPr>
          <w:rFonts w:ascii="Times New Roman" w:eastAsia="Batang" w:hAnsi="Times New Roman" w:cs="Times New Roman"/>
          <w:sz w:val="24"/>
          <w:szCs w:val="24"/>
          <w:lang w:eastAsia="bg-BG"/>
        </w:rPr>
        <w:t xml:space="preserve"> </w:t>
      </w:r>
      <w:r w:rsidR="0038199F" w:rsidRPr="005D78C4">
        <w:rPr>
          <w:rFonts w:ascii="Times New Roman" w:eastAsia="Batang" w:hAnsi="Times New Roman" w:cs="Times New Roman"/>
          <w:sz w:val="24"/>
          <w:szCs w:val="24"/>
          <w:lang w:val="en-US" w:eastAsia="bg-BG"/>
        </w:rPr>
        <w:t>542</w:t>
      </w:r>
      <w:r w:rsidR="003308E2" w:rsidRPr="005D78C4">
        <w:rPr>
          <w:rFonts w:ascii="Times New Roman" w:eastAsia="Batang" w:hAnsi="Times New Roman" w:cs="Times New Roman"/>
          <w:sz w:val="24"/>
          <w:szCs w:val="24"/>
          <w:lang w:eastAsia="bg-BG"/>
        </w:rPr>
        <w:t xml:space="preserve"> лв., което представлява </w:t>
      </w:r>
      <w:r w:rsidR="0038199F" w:rsidRPr="005D78C4">
        <w:rPr>
          <w:rFonts w:ascii="Times New Roman" w:eastAsia="Batang" w:hAnsi="Times New Roman" w:cs="Times New Roman"/>
          <w:sz w:val="24"/>
          <w:szCs w:val="24"/>
          <w:lang w:val="en-US" w:eastAsia="bg-BG"/>
        </w:rPr>
        <w:t>36</w:t>
      </w:r>
      <w:r w:rsidRPr="005D78C4">
        <w:rPr>
          <w:rFonts w:ascii="Times New Roman" w:eastAsia="Batang" w:hAnsi="Times New Roman" w:cs="Times New Roman"/>
          <w:sz w:val="24"/>
          <w:szCs w:val="24"/>
          <w:lang w:eastAsia="bg-BG"/>
        </w:rPr>
        <w:t>,</w:t>
      </w:r>
      <w:r w:rsidR="0038199F" w:rsidRPr="005D78C4">
        <w:rPr>
          <w:rFonts w:ascii="Times New Roman" w:eastAsia="Batang" w:hAnsi="Times New Roman" w:cs="Times New Roman"/>
          <w:sz w:val="24"/>
          <w:szCs w:val="24"/>
          <w:lang w:val="en-US" w:eastAsia="bg-BG"/>
        </w:rPr>
        <w:t>4</w:t>
      </w:r>
      <w:r w:rsidR="000F7927" w:rsidRPr="005D78C4">
        <w:rPr>
          <w:rFonts w:ascii="Times New Roman" w:eastAsia="Batang" w:hAnsi="Times New Roman" w:cs="Times New Roman"/>
          <w:sz w:val="24"/>
          <w:szCs w:val="24"/>
          <w:lang w:eastAsia="bg-BG"/>
        </w:rPr>
        <w:t>7</w:t>
      </w:r>
      <w:r w:rsidRPr="005D78C4">
        <w:rPr>
          <w:rFonts w:ascii="Times New Roman" w:eastAsia="Batang" w:hAnsi="Times New Roman" w:cs="Times New Roman"/>
          <w:sz w:val="24"/>
          <w:szCs w:val="24"/>
          <w:lang w:eastAsia="bg-BG"/>
        </w:rPr>
        <w:t xml:space="preserve"> % от планираните по този параграф приходи. </w:t>
      </w:r>
    </w:p>
    <w:p w14:paraId="32E08B1D" w14:textId="0256F50F" w:rsidR="008F292A" w:rsidRPr="005D78C4" w:rsidRDefault="00E43DD2" w:rsidP="0079708C">
      <w:pPr>
        <w:spacing w:after="40" w:line="264" w:lineRule="auto"/>
        <w:ind w:firstLine="709"/>
        <w:jc w:val="both"/>
        <w:rPr>
          <w:rFonts w:ascii="Times New Roman" w:eastAsia="Batang" w:hAnsi="Times New Roman" w:cs="Times New Roman"/>
          <w:sz w:val="24"/>
          <w:szCs w:val="24"/>
          <w:lang w:eastAsia="bg-BG"/>
        </w:rPr>
      </w:pPr>
      <w:r w:rsidRPr="005D78C4">
        <w:rPr>
          <w:rFonts w:ascii="Times New Roman" w:eastAsia="Batang" w:hAnsi="Times New Roman" w:cs="Times New Roman"/>
          <w:sz w:val="24"/>
          <w:szCs w:val="24"/>
          <w:lang w:eastAsia="bg-BG"/>
        </w:rPr>
        <w:t>Размерът на събраните приходи от такси през първото полугодие на 2025 г., в сравнение със същия период на миналата 202</w:t>
      </w:r>
      <w:r w:rsidRPr="005D78C4">
        <w:rPr>
          <w:rFonts w:ascii="Times New Roman" w:eastAsia="Batang" w:hAnsi="Times New Roman" w:cs="Times New Roman"/>
          <w:sz w:val="24"/>
          <w:szCs w:val="24"/>
          <w:lang w:val="en-US" w:eastAsia="bg-BG"/>
        </w:rPr>
        <w:t>4</w:t>
      </w:r>
      <w:r w:rsidRPr="005D78C4">
        <w:rPr>
          <w:rFonts w:ascii="Times New Roman" w:eastAsia="Batang" w:hAnsi="Times New Roman" w:cs="Times New Roman"/>
          <w:sz w:val="24"/>
          <w:szCs w:val="24"/>
          <w:lang w:eastAsia="bg-BG"/>
        </w:rPr>
        <w:t xml:space="preserve"> г., е намалял с 255 434 лв.</w:t>
      </w:r>
      <w:r w:rsidR="008F292A" w:rsidRPr="005D78C4">
        <w:rPr>
          <w:rFonts w:ascii="Times New Roman" w:eastAsia="Batang" w:hAnsi="Times New Roman" w:cs="Times New Roman"/>
          <w:sz w:val="24"/>
          <w:szCs w:val="24"/>
          <w:lang w:eastAsia="bg-BG"/>
        </w:rPr>
        <w:t xml:space="preserve">, което </w:t>
      </w:r>
      <w:r w:rsidR="00051B3E" w:rsidRPr="005D78C4">
        <w:rPr>
          <w:rFonts w:ascii="Times New Roman" w:eastAsia="Batang" w:hAnsi="Times New Roman" w:cs="Times New Roman"/>
          <w:sz w:val="24"/>
          <w:szCs w:val="24"/>
          <w:lang w:eastAsia="bg-BG"/>
        </w:rPr>
        <w:t>се дължи на по-</w:t>
      </w:r>
      <w:r w:rsidR="008F292A" w:rsidRPr="005D78C4">
        <w:rPr>
          <w:rFonts w:ascii="Times New Roman" w:eastAsia="Batang" w:hAnsi="Times New Roman" w:cs="Times New Roman"/>
          <w:sz w:val="24"/>
          <w:szCs w:val="24"/>
          <w:lang w:eastAsia="bg-BG"/>
        </w:rPr>
        <w:t>малкия</w:t>
      </w:r>
      <w:r w:rsidR="00051B3E" w:rsidRPr="005D78C4">
        <w:rPr>
          <w:rFonts w:ascii="Times New Roman" w:eastAsia="Batang" w:hAnsi="Times New Roman" w:cs="Times New Roman"/>
          <w:sz w:val="24"/>
          <w:szCs w:val="24"/>
          <w:lang w:eastAsia="bg-BG"/>
        </w:rPr>
        <w:t xml:space="preserve"> брой</w:t>
      </w:r>
      <w:r w:rsidR="00451EC5" w:rsidRPr="005D78C4">
        <w:rPr>
          <w:rFonts w:ascii="Times New Roman" w:eastAsia="Batang" w:hAnsi="Times New Roman" w:cs="Times New Roman"/>
          <w:sz w:val="24"/>
          <w:szCs w:val="24"/>
          <w:lang w:eastAsia="bg-BG"/>
        </w:rPr>
        <w:t xml:space="preserve"> </w:t>
      </w:r>
      <w:r w:rsidR="0079708C" w:rsidRPr="005D78C4">
        <w:rPr>
          <w:rFonts w:ascii="Times New Roman" w:eastAsia="Batang" w:hAnsi="Times New Roman" w:cs="Times New Roman"/>
          <w:sz w:val="24"/>
          <w:szCs w:val="24"/>
          <w:lang w:eastAsia="bg-BG"/>
        </w:rPr>
        <w:t>образувани производства</w:t>
      </w:r>
      <w:r w:rsidR="007B517D" w:rsidRPr="005D78C4">
        <w:rPr>
          <w:rFonts w:ascii="Times New Roman" w:eastAsia="Batang" w:hAnsi="Times New Roman" w:cs="Times New Roman"/>
          <w:sz w:val="24"/>
          <w:szCs w:val="24"/>
          <w:lang w:eastAsia="bg-BG"/>
        </w:rPr>
        <w:t>, по които се начисляват държавни такси</w:t>
      </w:r>
      <w:r w:rsidR="008B156D" w:rsidRPr="005D78C4">
        <w:rPr>
          <w:rFonts w:ascii="Times New Roman" w:eastAsia="MS Mincho" w:hAnsi="Times New Roman" w:cs="Times New Roman"/>
          <w:sz w:val="24"/>
          <w:szCs w:val="24"/>
          <w:lang w:val="en-US" w:eastAsia="bg-BG"/>
        </w:rPr>
        <w:t>.</w:t>
      </w:r>
      <w:r w:rsidR="008F292A" w:rsidRPr="005D78C4">
        <w:rPr>
          <w:rFonts w:ascii="Times New Roman" w:eastAsia="Batang" w:hAnsi="Times New Roman" w:cs="Times New Roman"/>
          <w:sz w:val="24"/>
          <w:szCs w:val="24"/>
          <w:lang w:eastAsia="bg-BG"/>
        </w:rPr>
        <w:t xml:space="preserve"> </w:t>
      </w:r>
      <w:r w:rsidR="0079708C" w:rsidRPr="005D78C4">
        <w:rPr>
          <w:rFonts w:ascii="Times New Roman" w:eastAsia="Batang" w:hAnsi="Times New Roman" w:cs="Times New Roman"/>
          <w:sz w:val="24"/>
          <w:szCs w:val="24"/>
          <w:lang w:eastAsia="bg-BG"/>
        </w:rPr>
        <w:t xml:space="preserve">Въпреки трудната степен на прогнозиране на събираемостта на таксите за производства по ЗОП, ЗК и ЗЗК, през последните години постъпленията от държавни такси се запазват в досегашните темпове, което съчетано с наблюдавания понастоящем интензитет на постъпващи жалби и образувани преписки дава разумна увереност, че </w:t>
      </w:r>
      <w:r w:rsidR="008F292A" w:rsidRPr="005D78C4">
        <w:rPr>
          <w:rFonts w:ascii="Times New Roman" w:eastAsia="Batang" w:hAnsi="Times New Roman" w:cs="Times New Roman"/>
          <w:sz w:val="24"/>
          <w:szCs w:val="24"/>
          <w:lang w:eastAsia="bg-BG"/>
        </w:rPr>
        <w:t>до края на год</w:t>
      </w:r>
      <w:r w:rsidR="00FC336B" w:rsidRPr="005D78C4">
        <w:rPr>
          <w:rFonts w:ascii="Times New Roman" w:eastAsia="Batang" w:hAnsi="Times New Roman" w:cs="Times New Roman"/>
          <w:sz w:val="24"/>
          <w:szCs w:val="24"/>
          <w:lang w:eastAsia="bg-BG"/>
        </w:rPr>
        <w:t>ината планираният размер от 4 2</w:t>
      </w:r>
      <w:r w:rsidR="00FF571E" w:rsidRPr="005D78C4">
        <w:rPr>
          <w:rFonts w:ascii="Times New Roman" w:eastAsia="Batang" w:hAnsi="Times New Roman" w:cs="Times New Roman"/>
          <w:sz w:val="24"/>
          <w:szCs w:val="24"/>
          <w:lang w:eastAsia="bg-BG"/>
        </w:rPr>
        <w:t>00 000 лв. ще</w:t>
      </w:r>
      <w:r w:rsidR="008F292A" w:rsidRPr="005D78C4">
        <w:rPr>
          <w:rFonts w:ascii="Times New Roman" w:eastAsia="Batang" w:hAnsi="Times New Roman" w:cs="Times New Roman"/>
          <w:sz w:val="24"/>
          <w:szCs w:val="24"/>
          <w:lang w:eastAsia="bg-BG"/>
        </w:rPr>
        <w:t xml:space="preserve"> бъде достигнат.</w:t>
      </w:r>
      <w:r w:rsidR="008F292A" w:rsidRPr="005D78C4">
        <w:rPr>
          <w:rFonts w:ascii="Times New Roman" w:eastAsia="Batang" w:hAnsi="Times New Roman" w:cs="Times New Roman"/>
          <w:sz w:val="24"/>
          <w:szCs w:val="24"/>
          <w:lang w:eastAsia="bg-BG"/>
        </w:rPr>
        <w:tab/>
      </w:r>
    </w:p>
    <w:p w14:paraId="40B8CF02" w14:textId="59FD4D1F" w:rsidR="005350CD" w:rsidRPr="005D78C4" w:rsidRDefault="005350CD" w:rsidP="0079708C">
      <w:pPr>
        <w:spacing w:after="40" w:line="264" w:lineRule="auto"/>
        <w:ind w:firstLine="709"/>
        <w:jc w:val="both"/>
        <w:rPr>
          <w:rFonts w:ascii="Times New Roman" w:eastAsia="Batang" w:hAnsi="Times New Roman" w:cs="Times New Roman"/>
          <w:sz w:val="24"/>
          <w:szCs w:val="24"/>
          <w:lang w:eastAsia="bg-BG"/>
        </w:rPr>
      </w:pPr>
      <w:r w:rsidRPr="005D78C4">
        <w:rPr>
          <w:rFonts w:ascii="Times New Roman" w:eastAsia="Batang" w:hAnsi="Times New Roman" w:cs="Times New Roman"/>
          <w:sz w:val="24"/>
          <w:szCs w:val="24"/>
          <w:lang w:eastAsia="bg-BG"/>
        </w:rPr>
        <w:t xml:space="preserve">Същевременно следва да се отбележи и необходимостта от актуализиране на тарифите на таксите, които се събират от КЗК в производствата по </w:t>
      </w:r>
      <w:r w:rsidR="004F7507" w:rsidRPr="005D78C4">
        <w:rPr>
          <w:rFonts w:ascii="Times New Roman" w:eastAsia="Batang" w:hAnsi="Times New Roman" w:cs="Times New Roman"/>
          <w:sz w:val="24"/>
          <w:szCs w:val="24"/>
          <w:lang w:eastAsia="bg-BG"/>
        </w:rPr>
        <w:t>ЗЗК, ЗК и ЗОП, като</w:t>
      </w:r>
      <w:r w:rsidRPr="005D78C4">
        <w:rPr>
          <w:rFonts w:ascii="Times New Roman" w:eastAsia="Batang" w:hAnsi="Times New Roman" w:cs="Times New Roman"/>
          <w:sz w:val="24"/>
          <w:szCs w:val="24"/>
          <w:lang w:eastAsia="bg-BG"/>
        </w:rPr>
        <w:t xml:space="preserve"> бъде отчетена актуалната икономическа обстановка.</w:t>
      </w:r>
    </w:p>
    <w:p w14:paraId="470C0933" w14:textId="77777777" w:rsidR="00CB13A4" w:rsidRPr="005D78C4" w:rsidRDefault="00CB13A4" w:rsidP="00DB66D9">
      <w:pPr>
        <w:tabs>
          <w:tab w:val="left" w:pos="851"/>
          <w:tab w:val="left" w:pos="993"/>
        </w:tabs>
        <w:spacing w:after="40" w:line="264" w:lineRule="auto"/>
        <w:jc w:val="both"/>
        <w:rPr>
          <w:rFonts w:ascii="Times New Roman" w:eastAsia="Batang" w:hAnsi="Times New Roman" w:cs="Times New Roman"/>
          <w:sz w:val="24"/>
          <w:szCs w:val="24"/>
          <w:lang w:eastAsia="bg-BG"/>
        </w:rPr>
      </w:pPr>
    </w:p>
    <w:p w14:paraId="7E36D083" w14:textId="324070AA" w:rsidR="00451EC5" w:rsidRPr="005D78C4" w:rsidRDefault="00451EC5" w:rsidP="00DB66D9">
      <w:pPr>
        <w:pStyle w:val="ListParagraph"/>
        <w:numPr>
          <w:ilvl w:val="1"/>
          <w:numId w:val="30"/>
        </w:numPr>
        <w:tabs>
          <w:tab w:val="left" w:pos="851"/>
          <w:tab w:val="left" w:pos="993"/>
          <w:tab w:val="left" w:pos="1276"/>
        </w:tabs>
        <w:spacing w:after="40" w:line="264" w:lineRule="auto"/>
        <w:ind w:hanging="218"/>
        <w:jc w:val="both"/>
        <w:rPr>
          <w:rFonts w:ascii="Times New Roman" w:eastAsia="Batang" w:hAnsi="Times New Roman" w:cs="Times New Roman"/>
          <w:b/>
          <w:lang w:eastAsia="bg-BG"/>
        </w:rPr>
      </w:pPr>
      <w:r w:rsidRPr="005D78C4">
        <w:rPr>
          <w:rFonts w:ascii="Times New Roman" w:eastAsia="Batang" w:hAnsi="Times New Roman" w:cs="Times New Roman"/>
          <w:b/>
          <w:lang w:eastAsia="bg-BG"/>
        </w:rPr>
        <w:t xml:space="preserve">Приходи от имуществени санкции </w:t>
      </w:r>
    </w:p>
    <w:p w14:paraId="3B68E20B" w14:textId="77777777" w:rsidR="00C33ABA" w:rsidRPr="005D78C4" w:rsidRDefault="00451EC5" w:rsidP="00C33ABA">
      <w:pPr>
        <w:tabs>
          <w:tab w:val="left" w:pos="993"/>
        </w:tabs>
        <w:spacing w:after="40" w:line="264" w:lineRule="auto"/>
        <w:ind w:firstLine="708"/>
        <w:jc w:val="both"/>
        <w:rPr>
          <w:rFonts w:ascii="Times New Roman" w:eastAsia="Batang" w:hAnsi="Times New Roman" w:cs="Times New Roman"/>
          <w:sz w:val="24"/>
          <w:szCs w:val="24"/>
          <w:lang w:eastAsia="bg-BG"/>
        </w:rPr>
      </w:pPr>
      <w:r w:rsidRPr="005D78C4">
        <w:rPr>
          <w:rFonts w:ascii="Times New Roman" w:hAnsi="Times New Roman" w:cs="Times New Roman"/>
          <w:sz w:val="24"/>
          <w:szCs w:val="24"/>
        </w:rPr>
        <w:t xml:space="preserve">Събраните </w:t>
      </w:r>
      <w:r w:rsidR="000B64DC" w:rsidRPr="005D78C4">
        <w:rPr>
          <w:rFonts w:ascii="Times New Roman" w:eastAsia="Batang" w:hAnsi="Times New Roman" w:cs="Times New Roman"/>
          <w:sz w:val="24"/>
          <w:szCs w:val="24"/>
          <w:lang w:eastAsia="bg-BG"/>
        </w:rPr>
        <w:t>към 30.06.202</w:t>
      </w:r>
      <w:r w:rsidR="00FC336B" w:rsidRPr="005D78C4">
        <w:rPr>
          <w:rFonts w:ascii="Times New Roman" w:eastAsia="Batang" w:hAnsi="Times New Roman" w:cs="Times New Roman"/>
          <w:sz w:val="24"/>
          <w:szCs w:val="24"/>
          <w:lang w:eastAsia="bg-BG"/>
        </w:rPr>
        <w:t>5</w:t>
      </w:r>
      <w:r w:rsidRPr="005D78C4">
        <w:rPr>
          <w:rFonts w:ascii="Times New Roman" w:eastAsia="Batang" w:hAnsi="Times New Roman" w:cs="Times New Roman"/>
          <w:sz w:val="24"/>
          <w:szCs w:val="24"/>
          <w:lang w:eastAsia="bg-BG"/>
        </w:rPr>
        <w:t xml:space="preserve"> г. </w:t>
      </w:r>
      <w:r w:rsidRPr="005D78C4">
        <w:rPr>
          <w:rFonts w:ascii="Times New Roman" w:hAnsi="Times New Roman" w:cs="Times New Roman"/>
          <w:sz w:val="24"/>
          <w:szCs w:val="24"/>
        </w:rPr>
        <w:t>парични вземания, произтичащи от имуществени санкции и глоби, наложени с влезли в сила решения на Комисията</w:t>
      </w:r>
      <w:r w:rsidR="008F292A" w:rsidRPr="005D78C4">
        <w:rPr>
          <w:rFonts w:ascii="Times New Roman" w:hAnsi="Times New Roman" w:cs="Times New Roman"/>
          <w:sz w:val="24"/>
          <w:szCs w:val="24"/>
        </w:rPr>
        <w:t xml:space="preserve"> за защита на конкуренцията</w:t>
      </w:r>
      <w:r w:rsidRPr="005D78C4">
        <w:rPr>
          <w:rFonts w:ascii="Times New Roman" w:hAnsi="Times New Roman" w:cs="Times New Roman"/>
          <w:sz w:val="24"/>
          <w:szCs w:val="24"/>
        </w:rPr>
        <w:t xml:space="preserve">, са в размер на </w:t>
      </w:r>
      <w:r w:rsidR="00FC336B" w:rsidRPr="005D78C4">
        <w:rPr>
          <w:rFonts w:ascii="Times New Roman" w:hAnsi="Times New Roman" w:cs="Times New Roman"/>
          <w:sz w:val="24"/>
          <w:szCs w:val="24"/>
        </w:rPr>
        <w:t>535</w:t>
      </w:r>
      <w:r w:rsidR="008F292A" w:rsidRPr="005D78C4">
        <w:rPr>
          <w:rFonts w:ascii="Times New Roman" w:eastAsia="Batang" w:hAnsi="Times New Roman" w:cs="Times New Roman"/>
          <w:sz w:val="24"/>
          <w:szCs w:val="24"/>
          <w:lang w:eastAsia="bg-BG"/>
        </w:rPr>
        <w:t xml:space="preserve"> </w:t>
      </w:r>
      <w:r w:rsidR="00FC336B" w:rsidRPr="005D78C4">
        <w:rPr>
          <w:rFonts w:ascii="Times New Roman" w:eastAsia="Batang" w:hAnsi="Times New Roman" w:cs="Times New Roman"/>
          <w:sz w:val="24"/>
          <w:szCs w:val="24"/>
          <w:lang w:eastAsia="bg-BG"/>
        </w:rPr>
        <w:t>7</w:t>
      </w:r>
      <w:r w:rsidR="008F292A" w:rsidRPr="005D78C4">
        <w:rPr>
          <w:rFonts w:ascii="Times New Roman" w:eastAsia="Batang" w:hAnsi="Times New Roman" w:cs="Times New Roman"/>
          <w:sz w:val="24"/>
          <w:szCs w:val="24"/>
          <w:lang w:eastAsia="bg-BG"/>
        </w:rPr>
        <w:t>8</w:t>
      </w:r>
      <w:r w:rsidR="00FC336B" w:rsidRPr="005D78C4">
        <w:rPr>
          <w:rFonts w:ascii="Times New Roman" w:eastAsia="Batang" w:hAnsi="Times New Roman" w:cs="Times New Roman"/>
          <w:sz w:val="24"/>
          <w:szCs w:val="24"/>
          <w:lang w:eastAsia="bg-BG"/>
        </w:rPr>
        <w:t>9</w:t>
      </w:r>
      <w:r w:rsidRPr="005D78C4">
        <w:rPr>
          <w:rFonts w:ascii="Times New Roman" w:eastAsia="Batang" w:hAnsi="Times New Roman" w:cs="Times New Roman"/>
          <w:sz w:val="24"/>
          <w:szCs w:val="24"/>
          <w:lang w:eastAsia="bg-BG"/>
        </w:rPr>
        <w:t xml:space="preserve"> лв., което </w:t>
      </w:r>
      <w:r w:rsidR="00853906" w:rsidRPr="005D78C4">
        <w:rPr>
          <w:rFonts w:ascii="Times New Roman" w:eastAsia="Batang" w:hAnsi="Times New Roman" w:cs="Times New Roman"/>
          <w:sz w:val="24"/>
          <w:szCs w:val="24"/>
          <w:lang w:eastAsia="bg-BG"/>
        </w:rPr>
        <w:t xml:space="preserve">представлява </w:t>
      </w:r>
      <w:r w:rsidR="00FC336B" w:rsidRPr="005D78C4">
        <w:rPr>
          <w:rFonts w:ascii="Times New Roman" w:eastAsia="Batang" w:hAnsi="Times New Roman" w:cs="Times New Roman"/>
          <w:sz w:val="24"/>
          <w:szCs w:val="24"/>
          <w:lang w:eastAsia="bg-BG"/>
        </w:rPr>
        <w:t>17</w:t>
      </w:r>
      <w:r w:rsidR="00051B3E" w:rsidRPr="005D78C4">
        <w:rPr>
          <w:rFonts w:ascii="Times New Roman" w:eastAsia="Batang" w:hAnsi="Times New Roman" w:cs="Times New Roman"/>
          <w:sz w:val="24"/>
          <w:szCs w:val="24"/>
          <w:lang w:eastAsia="bg-BG"/>
        </w:rPr>
        <w:t>,</w:t>
      </w:r>
      <w:r w:rsidR="00FC336B" w:rsidRPr="005D78C4">
        <w:rPr>
          <w:rFonts w:ascii="Times New Roman" w:eastAsia="Batang" w:hAnsi="Times New Roman" w:cs="Times New Roman"/>
          <w:sz w:val="24"/>
          <w:szCs w:val="24"/>
          <w:lang w:eastAsia="bg-BG"/>
        </w:rPr>
        <w:t>86</w:t>
      </w:r>
      <w:r w:rsidR="00051B3E" w:rsidRPr="005D78C4">
        <w:rPr>
          <w:rFonts w:ascii="Times New Roman" w:eastAsia="Batang" w:hAnsi="Times New Roman" w:cs="Times New Roman"/>
          <w:sz w:val="24"/>
          <w:szCs w:val="24"/>
          <w:lang w:eastAsia="bg-BG"/>
        </w:rPr>
        <w:t xml:space="preserve"> %  от </w:t>
      </w:r>
      <w:r w:rsidRPr="005D78C4">
        <w:rPr>
          <w:rFonts w:ascii="Times New Roman" w:eastAsia="Batang" w:hAnsi="Times New Roman" w:cs="Times New Roman"/>
          <w:sz w:val="24"/>
          <w:szCs w:val="24"/>
          <w:lang w:eastAsia="bg-BG"/>
        </w:rPr>
        <w:t>планираните по този параграф</w:t>
      </w:r>
      <w:r w:rsidR="00853906" w:rsidRPr="005D78C4">
        <w:rPr>
          <w:rFonts w:ascii="Times New Roman" w:eastAsia="Batang" w:hAnsi="Times New Roman" w:cs="Times New Roman"/>
          <w:sz w:val="24"/>
          <w:szCs w:val="24"/>
          <w:lang w:eastAsia="bg-BG"/>
        </w:rPr>
        <w:t xml:space="preserve"> приходи</w:t>
      </w:r>
      <w:r w:rsidRPr="005D78C4">
        <w:rPr>
          <w:rFonts w:ascii="Times New Roman" w:eastAsia="Batang" w:hAnsi="Times New Roman" w:cs="Times New Roman"/>
          <w:sz w:val="24"/>
          <w:szCs w:val="24"/>
          <w:lang w:eastAsia="bg-BG"/>
        </w:rPr>
        <w:t xml:space="preserve">. </w:t>
      </w:r>
    </w:p>
    <w:p w14:paraId="7F021438" w14:textId="4D54FDD3" w:rsidR="00C33ABA" w:rsidRPr="005D78C4" w:rsidRDefault="008F292A" w:rsidP="00C33ABA">
      <w:pPr>
        <w:tabs>
          <w:tab w:val="left" w:pos="993"/>
        </w:tabs>
        <w:spacing w:after="40" w:line="264" w:lineRule="auto"/>
        <w:ind w:firstLine="708"/>
        <w:jc w:val="both"/>
        <w:rPr>
          <w:rFonts w:ascii="Times New Roman" w:hAnsi="Times New Roman" w:cs="Times New Roman"/>
          <w:sz w:val="24"/>
          <w:szCs w:val="24"/>
        </w:rPr>
      </w:pPr>
      <w:r w:rsidRPr="005D78C4">
        <w:rPr>
          <w:rFonts w:ascii="Times New Roman" w:hAnsi="Times New Roman" w:cs="Times New Roman"/>
          <w:sz w:val="24"/>
          <w:szCs w:val="24"/>
        </w:rPr>
        <w:t xml:space="preserve">Както и при държавните такси, постъпленията по този параграф трудно биха могли да бъдат планирани, </w:t>
      </w:r>
      <w:r w:rsidR="00C9529A" w:rsidRPr="005D78C4">
        <w:rPr>
          <w:rFonts w:ascii="Times New Roman" w:hAnsi="Times New Roman" w:cs="Times New Roman"/>
          <w:sz w:val="24"/>
          <w:szCs w:val="24"/>
        </w:rPr>
        <w:t xml:space="preserve">тъй събираемостта от наложените с акт на КЗК вземания от имуществени глоби и санкции се обуславя на първо място от </w:t>
      </w:r>
      <w:r w:rsidRPr="005D78C4">
        <w:rPr>
          <w:rFonts w:ascii="Times New Roman" w:hAnsi="Times New Roman" w:cs="Times New Roman"/>
          <w:sz w:val="24"/>
          <w:szCs w:val="24"/>
        </w:rPr>
        <w:t xml:space="preserve">приключване на съдебното обжалване на актовете на КЗК и произнасянето на съда с окончателно решение, </w:t>
      </w:r>
      <w:r w:rsidR="00C9529A" w:rsidRPr="005D78C4">
        <w:rPr>
          <w:rFonts w:ascii="Times New Roman" w:hAnsi="Times New Roman" w:cs="Times New Roman"/>
          <w:sz w:val="24"/>
          <w:szCs w:val="24"/>
        </w:rPr>
        <w:t>както и о</w:t>
      </w:r>
      <w:r w:rsidRPr="005D78C4">
        <w:rPr>
          <w:rFonts w:ascii="Times New Roman" w:hAnsi="Times New Roman" w:cs="Times New Roman"/>
          <w:sz w:val="24"/>
          <w:szCs w:val="24"/>
        </w:rPr>
        <w:t>т постигнатия резултат след събиране на вземанията по принудителен ред.</w:t>
      </w:r>
    </w:p>
    <w:p w14:paraId="509A6251" w14:textId="6165D18C" w:rsidR="002553DA" w:rsidRPr="005D78C4" w:rsidRDefault="002553DA" w:rsidP="00C33ABA">
      <w:pPr>
        <w:tabs>
          <w:tab w:val="left" w:pos="993"/>
        </w:tabs>
        <w:spacing w:after="40" w:line="264" w:lineRule="auto"/>
        <w:ind w:firstLine="708"/>
        <w:jc w:val="both"/>
        <w:rPr>
          <w:rFonts w:ascii="Times New Roman" w:eastAsia="Batang" w:hAnsi="Times New Roman" w:cs="Times New Roman"/>
          <w:sz w:val="24"/>
          <w:szCs w:val="24"/>
          <w:lang w:eastAsia="bg-BG"/>
        </w:rPr>
      </w:pPr>
      <w:r w:rsidRPr="005D78C4">
        <w:rPr>
          <w:rFonts w:ascii="Times New Roman" w:hAnsi="Times New Roman" w:cs="Times New Roman"/>
          <w:sz w:val="24"/>
          <w:szCs w:val="24"/>
        </w:rPr>
        <w:t>Балансово по влезли в сила актове на К</w:t>
      </w:r>
      <w:r w:rsidR="004F7507" w:rsidRPr="005D78C4">
        <w:rPr>
          <w:rFonts w:ascii="Times New Roman" w:hAnsi="Times New Roman" w:cs="Times New Roman"/>
          <w:sz w:val="24"/>
          <w:szCs w:val="24"/>
        </w:rPr>
        <w:t>омисията са заведени</w:t>
      </w:r>
      <w:r w:rsidRPr="005D78C4">
        <w:rPr>
          <w:rFonts w:ascii="Times New Roman" w:hAnsi="Times New Roman" w:cs="Times New Roman"/>
          <w:sz w:val="24"/>
          <w:szCs w:val="24"/>
        </w:rPr>
        <w:t xml:space="preserve"> имуществени санкции </w:t>
      </w:r>
      <w:r w:rsidR="0081016D" w:rsidRPr="005D78C4">
        <w:rPr>
          <w:rFonts w:ascii="Times New Roman" w:hAnsi="Times New Roman" w:cs="Times New Roman"/>
          <w:sz w:val="24"/>
          <w:szCs w:val="24"/>
        </w:rPr>
        <w:t xml:space="preserve">и глоби </w:t>
      </w:r>
      <w:r w:rsidRPr="005D78C4">
        <w:rPr>
          <w:rFonts w:ascii="Times New Roman" w:hAnsi="Times New Roman" w:cs="Times New Roman"/>
          <w:sz w:val="24"/>
          <w:szCs w:val="24"/>
        </w:rPr>
        <w:t xml:space="preserve">в размер на 806 856,19 лева, а задбалансово по невлезли в сила </w:t>
      </w:r>
      <w:r w:rsidR="0081016D" w:rsidRPr="005D78C4">
        <w:rPr>
          <w:rFonts w:ascii="Times New Roman" w:hAnsi="Times New Roman" w:cs="Times New Roman"/>
          <w:sz w:val="24"/>
          <w:szCs w:val="24"/>
        </w:rPr>
        <w:t>актове на Комисията са осчетоводени имуществени санкции и глоби в размер на 2 643 026,19 лева.</w:t>
      </w:r>
    </w:p>
    <w:p w14:paraId="0DCE77ED" w14:textId="265ECEE7" w:rsidR="00C62E54" w:rsidRPr="005D78C4" w:rsidRDefault="008F292A" w:rsidP="00C33ABA">
      <w:pPr>
        <w:tabs>
          <w:tab w:val="left" w:pos="993"/>
        </w:tabs>
        <w:spacing w:after="40" w:line="264" w:lineRule="auto"/>
        <w:ind w:firstLine="708"/>
        <w:jc w:val="both"/>
        <w:rPr>
          <w:rFonts w:ascii="Times New Roman" w:hAnsi="Times New Roman" w:cs="Times New Roman"/>
          <w:sz w:val="24"/>
          <w:szCs w:val="24"/>
        </w:rPr>
      </w:pPr>
      <w:r w:rsidRPr="005D78C4">
        <w:rPr>
          <w:rFonts w:ascii="Times New Roman" w:hAnsi="Times New Roman" w:cs="Times New Roman"/>
          <w:sz w:val="24"/>
          <w:szCs w:val="24"/>
        </w:rPr>
        <w:t>Въпреки ниската събираемос</w:t>
      </w:r>
      <w:r w:rsidR="00FC336B" w:rsidRPr="005D78C4">
        <w:rPr>
          <w:rFonts w:ascii="Times New Roman" w:hAnsi="Times New Roman" w:cs="Times New Roman"/>
          <w:sz w:val="24"/>
          <w:szCs w:val="24"/>
        </w:rPr>
        <w:t>т през първото полугодие на 2025</w:t>
      </w:r>
      <w:r w:rsidRPr="005D78C4">
        <w:rPr>
          <w:rFonts w:ascii="Times New Roman" w:hAnsi="Times New Roman" w:cs="Times New Roman"/>
          <w:sz w:val="24"/>
          <w:szCs w:val="24"/>
        </w:rPr>
        <w:t xml:space="preserve"> г., </w:t>
      </w:r>
      <w:r w:rsidR="00C62E54" w:rsidRPr="005D78C4">
        <w:rPr>
          <w:rFonts w:ascii="Times New Roman" w:hAnsi="Times New Roman" w:cs="Times New Roman"/>
          <w:sz w:val="24"/>
          <w:szCs w:val="24"/>
        </w:rPr>
        <w:t xml:space="preserve">условния характер на тяхната събираемост и трудната им степен на прогнозиране, </w:t>
      </w:r>
      <w:r w:rsidRPr="005D78C4">
        <w:rPr>
          <w:rFonts w:ascii="Times New Roman" w:hAnsi="Times New Roman" w:cs="Times New Roman"/>
          <w:sz w:val="24"/>
          <w:szCs w:val="24"/>
        </w:rPr>
        <w:t xml:space="preserve">прогнозата е до края на годината да бъде достигнат планираният размер от 3 000 000 лв. </w:t>
      </w:r>
    </w:p>
    <w:p w14:paraId="702B4AB7" w14:textId="3BEB1E37" w:rsidR="0080233E" w:rsidRPr="005D78C4" w:rsidRDefault="005D6647" w:rsidP="00C33ABA">
      <w:pPr>
        <w:tabs>
          <w:tab w:val="left" w:pos="993"/>
        </w:tabs>
        <w:spacing w:after="40" w:line="264" w:lineRule="auto"/>
        <w:ind w:firstLine="708"/>
        <w:jc w:val="both"/>
        <w:rPr>
          <w:rFonts w:ascii="Times New Roman" w:eastAsia="Batang" w:hAnsi="Times New Roman" w:cs="Times New Roman"/>
          <w:sz w:val="24"/>
          <w:szCs w:val="24"/>
          <w:lang w:eastAsia="bg-BG"/>
        </w:rPr>
      </w:pPr>
      <w:r w:rsidRPr="005D78C4">
        <w:rPr>
          <w:rFonts w:ascii="Times New Roman" w:hAnsi="Times New Roman" w:cs="Times New Roman"/>
          <w:sz w:val="24"/>
          <w:szCs w:val="24"/>
        </w:rPr>
        <w:t xml:space="preserve">През последните </w:t>
      </w:r>
      <w:r w:rsidR="00FC6728" w:rsidRPr="005D78C4">
        <w:rPr>
          <w:rFonts w:ascii="Times New Roman" w:hAnsi="Times New Roman" w:cs="Times New Roman"/>
          <w:sz w:val="24"/>
          <w:szCs w:val="24"/>
        </w:rPr>
        <w:t xml:space="preserve">няколко </w:t>
      </w:r>
      <w:r w:rsidRPr="005D78C4">
        <w:rPr>
          <w:rFonts w:ascii="Times New Roman" w:hAnsi="Times New Roman" w:cs="Times New Roman"/>
          <w:sz w:val="24"/>
          <w:szCs w:val="24"/>
        </w:rPr>
        <w:t>години се наблюдава с</w:t>
      </w:r>
      <w:r w:rsidR="00451EC5" w:rsidRPr="005D78C4">
        <w:rPr>
          <w:rFonts w:ascii="Times New Roman" w:hAnsi="Times New Roman" w:cs="Times New Roman"/>
          <w:sz w:val="24"/>
          <w:szCs w:val="24"/>
        </w:rPr>
        <w:t>ъществен</w:t>
      </w:r>
      <w:r w:rsidRPr="005D78C4">
        <w:rPr>
          <w:rFonts w:ascii="Times New Roman" w:hAnsi="Times New Roman" w:cs="Times New Roman"/>
          <w:sz w:val="24"/>
          <w:szCs w:val="24"/>
        </w:rPr>
        <w:t xml:space="preserve">о увеличение на </w:t>
      </w:r>
      <w:r w:rsidR="00451EC5" w:rsidRPr="005D78C4">
        <w:rPr>
          <w:rFonts w:ascii="Times New Roman" w:hAnsi="Times New Roman" w:cs="Times New Roman"/>
          <w:sz w:val="24"/>
          <w:szCs w:val="24"/>
        </w:rPr>
        <w:t>размер</w:t>
      </w:r>
      <w:r w:rsidRPr="005D78C4">
        <w:rPr>
          <w:rFonts w:ascii="Times New Roman" w:hAnsi="Times New Roman" w:cs="Times New Roman"/>
          <w:sz w:val="24"/>
          <w:szCs w:val="24"/>
        </w:rPr>
        <w:t>а</w:t>
      </w:r>
      <w:r w:rsidR="00451EC5" w:rsidRPr="005D78C4">
        <w:rPr>
          <w:rFonts w:ascii="Times New Roman" w:hAnsi="Times New Roman" w:cs="Times New Roman"/>
          <w:sz w:val="24"/>
          <w:szCs w:val="24"/>
        </w:rPr>
        <w:t xml:space="preserve"> на събраните вземания, произтичащи от влезли в сила решения на Комисията, </w:t>
      </w:r>
      <w:r w:rsidRPr="005D78C4">
        <w:rPr>
          <w:rFonts w:ascii="Times New Roman" w:hAnsi="Times New Roman" w:cs="Times New Roman"/>
          <w:sz w:val="24"/>
          <w:szCs w:val="24"/>
        </w:rPr>
        <w:t xml:space="preserve">което </w:t>
      </w:r>
      <w:r w:rsidR="00451EC5" w:rsidRPr="005D78C4">
        <w:rPr>
          <w:rFonts w:ascii="Times New Roman" w:hAnsi="Times New Roman" w:cs="Times New Roman"/>
          <w:sz w:val="24"/>
          <w:szCs w:val="24"/>
        </w:rPr>
        <w:t xml:space="preserve">се дължи на няколко обстоятелства. На първо място бе повишена успеваемостта при съдебното обжалване на актовете на КЗК и през последните години бяха потвърдени наложени значителни по размер санкции, възлизащи общо на няколко милиона лева. Върховният административен съд потвърди законосъобразността и на по-голям брой актове на КЗК, с които са наложени по-малки по размер имуществени санкции и глоби, което също дава отражение върху общата сума </w:t>
      </w:r>
      <w:r w:rsidR="00246C54" w:rsidRPr="005D78C4">
        <w:rPr>
          <w:rFonts w:ascii="Times New Roman" w:hAnsi="Times New Roman" w:cs="Times New Roman"/>
          <w:sz w:val="24"/>
          <w:szCs w:val="24"/>
        </w:rPr>
        <w:t xml:space="preserve">на </w:t>
      </w:r>
      <w:r w:rsidR="00451EC5" w:rsidRPr="005D78C4">
        <w:rPr>
          <w:rFonts w:ascii="Times New Roman" w:hAnsi="Times New Roman" w:cs="Times New Roman"/>
          <w:sz w:val="24"/>
          <w:szCs w:val="24"/>
        </w:rPr>
        <w:t>приходите, формирани от тяхното събиране. Сл</w:t>
      </w:r>
      <w:r w:rsidR="00246C54" w:rsidRPr="005D78C4">
        <w:rPr>
          <w:rFonts w:ascii="Times New Roman" w:hAnsi="Times New Roman" w:cs="Times New Roman"/>
          <w:sz w:val="24"/>
          <w:szCs w:val="24"/>
        </w:rPr>
        <w:t>едва да бъде отчетен и факта, че с</w:t>
      </w:r>
      <w:r w:rsidR="00451EC5" w:rsidRPr="005D78C4">
        <w:rPr>
          <w:rFonts w:ascii="Times New Roman" w:hAnsi="Times New Roman" w:cs="Times New Roman"/>
          <w:sz w:val="24"/>
          <w:szCs w:val="24"/>
        </w:rPr>
        <w:t xml:space="preserve"> цел </w:t>
      </w:r>
      <w:r w:rsidR="00246C54" w:rsidRPr="005D78C4">
        <w:rPr>
          <w:rFonts w:ascii="Times New Roman" w:hAnsi="Times New Roman" w:cs="Times New Roman"/>
          <w:sz w:val="24"/>
          <w:szCs w:val="24"/>
        </w:rPr>
        <w:t>повишаване</w:t>
      </w:r>
      <w:r w:rsidR="00451EC5" w:rsidRPr="005D78C4">
        <w:rPr>
          <w:rFonts w:ascii="Times New Roman" w:hAnsi="Times New Roman" w:cs="Times New Roman"/>
          <w:sz w:val="24"/>
          <w:szCs w:val="24"/>
        </w:rPr>
        <w:t xml:space="preserve"> събираемостта на своите вземания и постъпленията в държавния бюджет, Комисията започна да възлага принудителното им събиране на частни съдебни изпълнители,</w:t>
      </w:r>
      <w:r w:rsidR="00246C54" w:rsidRPr="005D78C4">
        <w:rPr>
          <w:rFonts w:ascii="Times New Roman" w:hAnsi="Times New Roman" w:cs="Times New Roman"/>
          <w:sz w:val="24"/>
          <w:szCs w:val="24"/>
        </w:rPr>
        <w:t xml:space="preserve"> което допринесе за съществено </w:t>
      </w:r>
      <w:r w:rsidR="00451EC5" w:rsidRPr="005D78C4">
        <w:rPr>
          <w:rFonts w:ascii="Times New Roman" w:hAnsi="Times New Roman" w:cs="Times New Roman"/>
          <w:sz w:val="24"/>
          <w:szCs w:val="24"/>
        </w:rPr>
        <w:t>увеличение</w:t>
      </w:r>
      <w:r w:rsidR="00246C54" w:rsidRPr="005D78C4">
        <w:rPr>
          <w:rFonts w:ascii="Times New Roman" w:hAnsi="Times New Roman" w:cs="Times New Roman"/>
          <w:sz w:val="24"/>
          <w:szCs w:val="24"/>
        </w:rPr>
        <w:t xml:space="preserve"> </w:t>
      </w:r>
      <w:r w:rsidR="00451EC5" w:rsidRPr="005D78C4">
        <w:rPr>
          <w:rFonts w:ascii="Times New Roman" w:hAnsi="Times New Roman" w:cs="Times New Roman"/>
          <w:sz w:val="24"/>
          <w:szCs w:val="24"/>
        </w:rPr>
        <w:t>на събраните приходи.</w:t>
      </w:r>
      <w:r w:rsidR="0080233E" w:rsidRPr="005D78C4">
        <w:rPr>
          <w:rFonts w:ascii="Times New Roman" w:eastAsia="Batang" w:hAnsi="Times New Roman" w:cs="Times New Roman"/>
          <w:sz w:val="24"/>
          <w:szCs w:val="24"/>
          <w:lang w:eastAsia="bg-BG"/>
        </w:rPr>
        <w:t xml:space="preserve"> Комисията предприема активни действия и </w:t>
      </w:r>
      <w:r w:rsidR="0080233E" w:rsidRPr="005D78C4">
        <w:rPr>
          <w:rFonts w:ascii="Times New Roman" w:eastAsia="Batang" w:hAnsi="Times New Roman" w:cs="Times New Roman"/>
          <w:sz w:val="24"/>
          <w:szCs w:val="24"/>
          <w:lang w:eastAsia="bg-BG"/>
        </w:rPr>
        <w:lastRenderedPageBreak/>
        <w:t xml:space="preserve">използва всички възможни правни способи за пристъпване към събиране на нейните ликвидни и изискуеми вземания спрямо лицата и предприятията, които се опитват да избегнат тяхното заплащане. </w:t>
      </w:r>
    </w:p>
    <w:p w14:paraId="283B7EFA" w14:textId="77777777" w:rsidR="00CB13A4" w:rsidRPr="005D78C4" w:rsidRDefault="00CB13A4" w:rsidP="00DB66D9">
      <w:pPr>
        <w:spacing w:after="40" w:line="264" w:lineRule="auto"/>
        <w:ind w:firstLine="851"/>
        <w:jc w:val="both"/>
        <w:rPr>
          <w:rFonts w:ascii="Times New Roman" w:eastAsia="Batang" w:hAnsi="Times New Roman" w:cs="Times New Roman"/>
          <w:sz w:val="24"/>
          <w:szCs w:val="24"/>
          <w:lang w:eastAsia="bg-BG"/>
        </w:rPr>
      </w:pPr>
    </w:p>
    <w:p w14:paraId="3DFF7FFA" w14:textId="4C2B217F" w:rsidR="00451EC5" w:rsidRPr="005D78C4" w:rsidRDefault="00AB01B1" w:rsidP="00DB66D9">
      <w:pPr>
        <w:pStyle w:val="ListParagraph"/>
        <w:numPr>
          <w:ilvl w:val="1"/>
          <w:numId w:val="30"/>
        </w:numPr>
        <w:spacing w:after="40" w:line="264" w:lineRule="auto"/>
        <w:ind w:hanging="218"/>
        <w:jc w:val="both"/>
        <w:rPr>
          <w:rFonts w:ascii="Times New Roman" w:eastAsia="Batang" w:hAnsi="Times New Roman" w:cs="Times New Roman"/>
          <w:b/>
          <w:lang w:eastAsia="bg-BG"/>
        </w:rPr>
      </w:pPr>
      <w:r w:rsidRPr="005D78C4">
        <w:rPr>
          <w:rFonts w:ascii="Times New Roman" w:eastAsia="Batang" w:hAnsi="Times New Roman" w:cs="Times New Roman"/>
          <w:b/>
          <w:lang w:eastAsia="bg-BG"/>
        </w:rPr>
        <w:t xml:space="preserve"> </w:t>
      </w:r>
      <w:r w:rsidR="00451EC5" w:rsidRPr="005D78C4">
        <w:rPr>
          <w:rFonts w:ascii="Times New Roman" w:eastAsia="Batang" w:hAnsi="Times New Roman" w:cs="Times New Roman"/>
          <w:b/>
          <w:lang w:eastAsia="bg-BG"/>
        </w:rPr>
        <w:t>Други приходи</w:t>
      </w:r>
    </w:p>
    <w:p w14:paraId="527722C6" w14:textId="5F0095E9" w:rsidR="00FC336B" w:rsidRPr="005D78C4" w:rsidRDefault="00451EC5" w:rsidP="00C33ABA">
      <w:pPr>
        <w:shd w:val="clear" w:color="auto" w:fill="FFFFFF"/>
        <w:tabs>
          <w:tab w:val="left" w:pos="0"/>
          <w:tab w:val="left" w:pos="567"/>
          <w:tab w:val="left" w:pos="709"/>
          <w:tab w:val="left" w:pos="993"/>
        </w:tabs>
        <w:spacing w:after="40" w:line="264" w:lineRule="auto"/>
        <w:ind w:right="14" w:firstLine="709"/>
        <w:jc w:val="both"/>
        <w:rPr>
          <w:rFonts w:ascii="Times New Roman" w:eastAsia="Batang" w:hAnsi="Times New Roman" w:cs="Times New Roman"/>
          <w:sz w:val="24"/>
          <w:szCs w:val="24"/>
          <w:lang w:eastAsia="bg-BG"/>
        </w:rPr>
      </w:pPr>
      <w:r w:rsidRPr="005D78C4">
        <w:rPr>
          <w:rFonts w:ascii="Times New Roman" w:eastAsia="Batang" w:hAnsi="Times New Roman" w:cs="Times New Roman"/>
          <w:sz w:val="24"/>
          <w:szCs w:val="24"/>
          <w:lang w:eastAsia="bg-BG"/>
        </w:rPr>
        <w:t>Към 30.06.202</w:t>
      </w:r>
      <w:r w:rsidR="00FC336B" w:rsidRPr="005D78C4">
        <w:rPr>
          <w:rFonts w:ascii="Times New Roman" w:eastAsia="Batang" w:hAnsi="Times New Roman" w:cs="Times New Roman"/>
          <w:sz w:val="24"/>
          <w:szCs w:val="24"/>
          <w:lang w:eastAsia="bg-BG"/>
        </w:rPr>
        <w:t>5</w:t>
      </w:r>
      <w:r w:rsidRPr="005D78C4">
        <w:rPr>
          <w:rFonts w:ascii="Times New Roman" w:eastAsia="Batang" w:hAnsi="Times New Roman" w:cs="Times New Roman"/>
          <w:sz w:val="24"/>
          <w:szCs w:val="24"/>
          <w:lang w:eastAsia="bg-BG"/>
        </w:rPr>
        <w:t xml:space="preserve"> г. са отчетени </w:t>
      </w:r>
      <w:r w:rsidR="00FC336B" w:rsidRPr="005D78C4">
        <w:rPr>
          <w:rFonts w:ascii="Times New Roman" w:eastAsia="Batang" w:hAnsi="Times New Roman" w:cs="Times New Roman"/>
          <w:sz w:val="24"/>
          <w:szCs w:val="24"/>
          <w:lang w:eastAsia="bg-BG"/>
        </w:rPr>
        <w:t xml:space="preserve">6 382 </w:t>
      </w:r>
      <w:r w:rsidRPr="005D78C4">
        <w:rPr>
          <w:rFonts w:ascii="Times New Roman" w:eastAsia="Batang" w:hAnsi="Times New Roman" w:cs="Times New Roman"/>
          <w:sz w:val="24"/>
          <w:szCs w:val="24"/>
          <w:lang w:eastAsia="bg-BG"/>
        </w:rPr>
        <w:t xml:space="preserve">лв. </w:t>
      </w:r>
      <w:r w:rsidR="00FC336B" w:rsidRPr="005D78C4">
        <w:rPr>
          <w:rFonts w:ascii="Times New Roman" w:eastAsia="Batang" w:hAnsi="Times New Roman" w:cs="Times New Roman"/>
          <w:sz w:val="24"/>
          <w:szCs w:val="24"/>
          <w:lang w:eastAsia="bg-BG"/>
        </w:rPr>
        <w:t xml:space="preserve">други неданъчни </w:t>
      </w:r>
      <w:r w:rsidRPr="005D78C4">
        <w:rPr>
          <w:rFonts w:ascii="Times New Roman" w:eastAsia="Batang" w:hAnsi="Times New Roman" w:cs="Times New Roman"/>
          <w:sz w:val="24"/>
          <w:szCs w:val="24"/>
          <w:lang w:eastAsia="bg-BG"/>
        </w:rPr>
        <w:t>приходи</w:t>
      </w:r>
      <w:r w:rsidR="00FC336B" w:rsidRPr="005D78C4">
        <w:rPr>
          <w:rFonts w:ascii="Times New Roman" w:eastAsia="Batang" w:hAnsi="Times New Roman" w:cs="Times New Roman"/>
          <w:sz w:val="24"/>
          <w:szCs w:val="24"/>
          <w:lang w:eastAsia="bg-BG"/>
        </w:rPr>
        <w:t xml:space="preserve">, в т.ч. 3 460 лв. приходи от присъдени в полза на КЗК разноски </w:t>
      </w:r>
      <w:r w:rsidR="00FC336B" w:rsidRPr="005D78C4">
        <w:rPr>
          <w:rFonts w:ascii="Times New Roman" w:hAnsi="Times New Roman" w:cs="Times New Roman"/>
        </w:rPr>
        <w:t>във връзка със съдебни дела</w:t>
      </w:r>
      <w:r w:rsidR="00FC336B" w:rsidRPr="005D78C4">
        <w:rPr>
          <w:rFonts w:ascii="Times New Roman" w:eastAsia="Batang" w:hAnsi="Times New Roman" w:cs="Times New Roman"/>
          <w:sz w:val="24"/>
          <w:szCs w:val="24"/>
          <w:lang w:eastAsia="bg-BG"/>
        </w:rPr>
        <w:t xml:space="preserve"> и 2 922 лв. приходи от отписани поради изтекла давност суми, представляващи </w:t>
      </w:r>
      <w:r w:rsidR="00FC336B" w:rsidRPr="005D78C4">
        <w:rPr>
          <w:rFonts w:ascii="Times New Roman" w:eastAsia="Times New Roman" w:hAnsi="Times New Roman" w:cs="Times New Roman"/>
          <w:sz w:val="24"/>
          <w:szCs w:val="24"/>
          <w:lang w:eastAsia="bg-BG"/>
        </w:rPr>
        <w:t>погрешно преведени по сметката на КЗК суми, подлежащи на отнасяне в републиканския бюджет</w:t>
      </w:r>
      <w:r w:rsidR="00FC336B" w:rsidRPr="005D78C4">
        <w:rPr>
          <w:rFonts w:ascii="Times New Roman" w:eastAsia="Batang" w:hAnsi="Times New Roman" w:cs="Times New Roman"/>
          <w:sz w:val="24"/>
          <w:szCs w:val="24"/>
          <w:lang w:eastAsia="bg-BG"/>
        </w:rPr>
        <w:t>.</w:t>
      </w:r>
      <w:r w:rsidR="00FC336B" w:rsidRPr="005D78C4">
        <w:rPr>
          <w:rFonts w:ascii="Times New Roman" w:eastAsia="Times New Roman" w:hAnsi="Times New Roman" w:cs="Times New Roman"/>
          <w:sz w:val="24"/>
          <w:szCs w:val="24"/>
          <w:lang w:eastAsia="bg-BG"/>
        </w:rPr>
        <w:t xml:space="preserve"> </w:t>
      </w:r>
    </w:p>
    <w:p w14:paraId="25C0E921" w14:textId="77777777" w:rsidR="00CB13A4" w:rsidRPr="005D78C4" w:rsidRDefault="00CB13A4" w:rsidP="00DB66D9">
      <w:pPr>
        <w:shd w:val="clear" w:color="auto" w:fill="FFFFFF"/>
        <w:tabs>
          <w:tab w:val="left" w:pos="0"/>
          <w:tab w:val="left" w:pos="567"/>
          <w:tab w:val="left" w:pos="709"/>
          <w:tab w:val="left" w:pos="1276"/>
        </w:tabs>
        <w:spacing w:after="40" w:line="264" w:lineRule="auto"/>
        <w:jc w:val="both"/>
        <w:rPr>
          <w:rFonts w:ascii="Times New Roman" w:hAnsi="Times New Roman" w:cs="Times New Roman"/>
        </w:rPr>
      </w:pPr>
    </w:p>
    <w:p w14:paraId="4B615970" w14:textId="476C4BB5" w:rsidR="00451EC5" w:rsidRPr="005D78C4" w:rsidRDefault="00451EC5" w:rsidP="00DB66D9">
      <w:pPr>
        <w:widowControl w:val="0"/>
        <w:numPr>
          <w:ilvl w:val="0"/>
          <w:numId w:val="30"/>
        </w:numPr>
        <w:tabs>
          <w:tab w:val="left" w:pos="851"/>
        </w:tabs>
        <w:spacing w:after="40" w:line="264" w:lineRule="auto"/>
        <w:ind w:firstLine="349"/>
        <w:jc w:val="both"/>
        <w:rPr>
          <w:rFonts w:ascii="Times New Roman" w:eastAsia="Times New Roman" w:hAnsi="Times New Roman" w:cs="Times New Roman"/>
          <w:b/>
          <w:sz w:val="24"/>
          <w:szCs w:val="24"/>
          <w:lang w:val="ru-RU"/>
        </w:rPr>
      </w:pPr>
      <w:r w:rsidRPr="005D78C4">
        <w:rPr>
          <w:rFonts w:ascii="Times New Roman" w:eastAsia="Times New Roman" w:hAnsi="Times New Roman" w:cs="Times New Roman"/>
          <w:b/>
          <w:sz w:val="24"/>
          <w:szCs w:val="24"/>
          <w:lang w:val="ru-RU"/>
        </w:rPr>
        <w:t xml:space="preserve">Отчет на </w:t>
      </w:r>
      <w:r w:rsidRPr="005D78C4">
        <w:rPr>
          <w:rFonts w:ascii="Times New Roman" w:eastAsia="Times New Roman" w:hAnsi="Times New Roman" w:cs="Times New Roman"/>
          <w:b/>
          <w:sz w:val="24"/>
          <w:szCs w:val="24"/>
        </w:rPr>
        <w:t>разходите</w:t>
      </w:r>
      <w:r w:rsidRPr="005D78C4">
        <w:rPr>
          <w:rFonts w:ascii="Times New Roman" w:eastAsia="Times New Roman" w:hAnsi="Times New Roman" w:cs="Times New Roman"/>
          <w:b/>
          <w:sz w:val="24"/>
          <w:szCs w:val="24"/>
          <w:lang w:val="ru-RU"/>
        </w:rPr>
        <w:t xml:space="preserve"> </w:t>
      </w:r>
    </w:p>
    <w:p w14:paraId="15630DB0" w14:textId="3112967F" w:rsidR="004D7985" w:rsidRPr="005D78C4" w:rsidRDefault="00451EC5" w:rsidP="00DB66D9">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 xml:space="preserve">В следващите таблици са представени разходите на Комисия за защита на конкуренцията, в т.ч. и класифицирани по ведомствени параграфи. </w:t>
      </w:r>
    </w:p>
    <w:tbl>
      <w:tblPr>
        <w:tblW w:w="9528" w:type="dxa"/>
        <w:tblCellMar>
          <w:left w:w="70" w:type="dxa"/>
          <w:right w:w="70" w:type="dxa"/>
        </w:tblCellMar>
        <w:tblLook w:val="04A0" w:firstRow="1" w:lastRow="0" w:firstColumn="1" w:lastColumn="0" w:noHBand="0" w:noVBand="1"/>
      </w:tblPr>
      <w:tblGrid>
        <w:gridCol w:w="2156"/>
        <w:gridCol w:w="3514"/>
        <w:gridCol w:w="1280"/>
        <w:gridCol w:w="1272"/>
        <w:gridCol w:w="1280"/>
        <w:gridCol w:w="26"/>
      </w:tblGrid>
      <w:tr w:rsidR="00C102BF" w:rsidRPr="005D78C4" w14:paraId="2FE2BDD8" w14:textId="77777777" w:rsidTr="00745CD0">
        <w:trPr>
          <w:trHeight w:val="315"/>
        </w:trPr>
        <w:tc>
          <w:tcPr>
            <w:tcW w:w="9528" w:type="dxa"/>
            <w:gridSpan w:val="6"/>
            <w:tcBorders>
              <w:top w:val="nil"/>
              <w:left w:val="nil"/>
              <w:bottom w:val="nil"/>
              <w:right w:val="nil"/>
            </w:tcBorders>
            <w:shd w:val="clear" w:color="auto" w:fill="auto"/>
            <w:noWrap/>
            <w:vAlign w:val="center"/>
            <w:hideMark/>
          </w:tcPr>
          <w:p w14:paraId="4571099B" w14:textId="77777777" w:rsidR="00451EC5" w:rsidRPr="005D78C4" w:rsidRDefault="00451EC5" w:rsidP="00DB66D9">
            <w:pPr>
              <w:spacing w:after="40" w:line="264" w:lineRule="auto"/>
              <w:jc w:val="both"/>
              <w:rPr>
                <w:rFonts w:ascii="Times New Roman" w:eastAsia="Times New Roman" w:hAnsi="Times New Roman" w:cs="Times New Roman"/>
                <w:b/>
                <w:i/>
                <w:sz w:val="24"/>
                <w:szCs w:val="24"/>
                <w:lang w:val="en-US" w:eastAsia="bg-BG"/>
              </w:rPr>
            </w:pPr>
          </w:p>
          <w:p w14:paraId="7FDBD762" w14:textId="663E0E62" w:rsidR="00451EC5" w:rsidRPr="005D78C4" w:rsidRDefault="00451EC5" w:rsidP="00DB66D9">
            <w:pPr>
              <w:spacing w:after="40" w:line="264" w:lineRule="auto"/>
              <w:jc w:val="both"/>
              <w:rPr>
                <w:rFonts w:ascii="Arial" w:eastAsia="Times New Roman" w:hAnsi="Arial" w:cs="Arial"/>
                <w:sz w:val="20"/>
                <w:szCs w:val="20"/>
                <w:lang w:eastAsia="bg-BG"/>
              </w:rPr>
            </w:pPr>
            <w:r w:rsidRPr="005D78C4">
              <w:rPr>
                <w:rFonts w:ascii="Times New Roman" w:eastAsia="Times New Roman" w:hAnsi="Times New Roman" w:cs="Times New Roman"/>
                <w:b/>
                <w:i/>
                <w:sz w:val="24"/>
                <w:szCs w:val="24"/>
                <w:lang w:eastAsia="bg-BG"/>
              </w:rPr>
              <w:t>Приложение № 2а</w:t>
            </w:r>
            <w:r w:rsidRPr="005D78C4">
              <w:rPr>
                <w:rFonts w:ascii="Arial" w:eastAsia="Times New Roman" w:hAnsi="Arial" w:cs="Arial"/>
                <w:sz w:val="20"/>
                <w:szCs w:val="20"/>
                <w:lang w:eastAsia="bg-BG"/>
              </w:rPr>
              <w:t xml:space="preserve"> – </w:t>
            </w:r>
            <w:r w:rsidRPr="005D78C4">
              <w:rPr>
                <w:rFonts w:ascii="Times New Roman" w:eastAsia="Times New Roman" w:hAnsi="Times New Roman" w:cs="Times New Roman"/>
                <w:sz w:val="24"/>
                <w:szCs w:val="24"/>
                <w:lang w:eastAsia="bg-BG"/>
              </w:rPr>
              <w:t>Отчет на разходите по бюджета на ПРБ по функционални области и бюджетни програми</w:t>
            </w:r>
            <w:r w:rsidRPr="005D78C4">
              <w:rPr>
                <w:rFonts w:ascii="Arial" w:eastAsia="Times New Roman" w:hAnsi="Arial" w:cs="Arial"/>
                <w:sz w:val="20"/>
                <w:szCs w:val="20"/>
                <w:lang w:eastAsia="bg-BG"/>
              </w:rPr>
              <w:t xml:space="preserve"> </w:t>
            </w:r>
          </w:p>
        </w:tc>
      </w:tr>
      <w:tr w:rsidR="00C102BF" w:rsidRPr="005D78C4" w14:paraId="068CE175" w14:textId="77777777" w:rsidTr="00745CD0">
        <w:trPr>
          <w:gridAfter w:val="1"/>
          <w:wAfter w:w="26" w:type="dxa"/>
          <w:trHeight w:val="1017"/>
        </w:trPr>
        <w:tc>
          <w:tcPr>
            <w:tcW w:w="2156" w:type="dxa"/>
            <w:tcBorders>
              <w:top w:val="single" w:sz="4" w:space="0" w:color="auto"/>
              <w:left w:val="single" w:sz="4" w:space="0" w:color="auto"/>
              <w:bottom w:val="single" w:sz="4" w:space="0" w:color="auto"/>
              <w:right w:val="single" w:sz="4" w:space="0" w:color="auto"/>
            </w:tcBorders>
            <w:shd w:val="clear" w:color="D9D9D9" w:fill="E6E6E6"/>
            <w:vAlign w:val="center"/>
            <w:hideMark/>
          </w:tcPr>
          <w:p w14:paraId="2899C908" w14:textId="77777777" w:rsidR="00451EC5" w:rsidRPr="005D78C4" w:rsidRDefault="00451EC5" w:rsidP="00DB66D9">
            <w:pPr>
              <w:spacing w:after="40" w:line="264" w:lineRule="auto"/>
              <w:jc w:val="center"/>
              <w:rPr>
                <w:rFonts w:ascii="Times New Roman" w:eastAsia="Times New Roman" w:hAnsi="Times New Roman" w:cs="Times New Roman"/>
                <w:b/>
                <w:bCs/>
                <w:lang w:eastAsia="bg-BG"/>
              </w:rPr>
            </w:pPr>
            <w:r w:rsidRPr="005D78C4">
              <w:rPr>
                <w:rFonts w:ascii="Times New Roman" w:eastAsia="Times New Roman" w:hAnsi="Times New Roman" w:cs="Times New Roman"/>
                <w:b/>
                <w:bCs/>
                <w:lang w:eastAsia="bg-BG"/>
              </w:rPr>
              <w:t>Класификационен код</w:t>
            </w:r>
          </w:p>
        </w:tc>
        <w:tc>
          <w:tcPr>
            <w:tcW w:w="3514" w:type="dxa"/>
            <w:tcBorders>
              <w:top w:val="single" w:sz="4" w:space="0" w:color="auto"/>
              <w:left w:val="nil"/>
              <w:bottom w:val="single" w:sz="4" w:space="0" w:color="auto"/>
              <w:right w:val="single" w:sz="4" w:space="0" w:color="auto"/>
            </w:tcBorders>
            <w:shd w:val="clear" w:color="D9D9D9" w:fill="E6E6E6"/>
            <w:vAlign w:val="center"/>
            <w:hideMark/>
          </w:tcPr>
          <w:p w14:paraId="2EC20F46" w14:textId="77777777" w:rsidR="00451EC5" w:rsidRPr="005D78C4" w:rsidRDefault="00451EC5" w:rsidP="00DB66D9">
            <w:pPr>
              <w:spacing w:after="40" w:line="264" w:lineRule="auto"/>
              <w:jc w:val="center"/>
              <w:rPr>
                <w:rFonts w:ascii="Times New Roman" w:eastAsia="Times New Roman" w:hAnsi="Times New Roman" w:cs="Times New Roman"/>
                <w:b/>
                <w:bCs/>
                <w:lang w:eastAsia="bg-BG"/>
              </w:rPr>
            </w:pPr>
            <w:r w:rsidRPr="005D78C4">
              <w:rPr>
                <w:rFonts w:ascii="Times New Roman" w:eastAsia="Times New Roman" w:hAnsi="Times New Roman" w:cs="Times New Roman"/>
                <w:b/>
                <w:bCs/>
                <w:lang w:eastAsia="bg-BG"/>
              </w:rPr>
              <w:t xml:space="preserve">РАЗХОДИ </w:t>
            </w:r>
            <w:r w:rsidRPr="005D78C4">
              <w:rPr>
                <w:rFonts w:ascii="Times New Roman" w:eastAsia="Times New Roman" w:hAnsi="Times New Roman" w:cs="Times New Roman"/>
                <w:b/>
                <w:bCs/>
                <w:lang w:eastAsia="bg-BG"/>
              </w:rPr>
              <w:br/>
              <w:t>(в лева)</w:t>
            </w:r>
          </w:p>
        </w:tc>
        <w:tc>
          <w:tcPr>
            <w:tcW w:w="1280" w:type="dxa"/>
            <w:tcBorders>
              <w:top w:val="single" w:sz="4" w:space="0" w:color="auto"/>
              <w:left w:val="nil"/>
              <w:bottom w:val="single" w:sz="4" w:space="0" w:color="auto"/>
              <w:right w:val="single" w:sz="4" w:space="0" w:color="auto"/>
            </w:tcBorders>
            <w:shd w:val="clear" w:color="D9D9D9" w:fill="E6E6E6"/>
            <w:noWrap/>
            <w:vAlign w:val="center"/>
            <w:hideMark/>
          </w:tcPr>
          <w:p w14:paraId="65D0C253" w14:textId="77777777" w:rsidR="00451EC5" w:rsidRPr="005D78C4" w:rsidRDefault="00451EC5" w:rsidP="00DB66D9">
            <w:pPr>
              <w:spacing w:after="40" w:line="264" w:lineRule="auto"/>
              <w:jc w:val="center"/>
              <w:rPr>
                <w:rFonts w:ascii="Times New Roman" w:eastAsia="Times New Roman" w:hAnsi="Times New Roman" w:cs="Times New Roman"/>
                <w:b/>
                <w:bCs/>
                <w:lang w:eastAsia="bg-BG"/>
              </w:rPr>
            </w:pPr>
            <w:r w:rsidRPr="005D78C4">
              <w:rPr>
                <w:rFonts w:ascii="Times New Roman" w:eastAsia="Times New Roman" w:hAnsi="Times New Roman" w:cs="Times New Roman"/>
                <w:b/>
                <w:bCs/>
                <w:lang w:eastAsia="bg-BG"/>
              </w:rPr>
              <w:t>Закон</w:t>
            </w:r>
          </w:p>
        </w:tc>
        <w:tc>
          <w:tcPr>
            <w:tcW w:w="1272" w:type="dxa"/>
            <w:tcBorders>
              <w:top w:val="single" w:sz="4" w:space="0" w:color="auto"/>
              <w:left w:val="nil"/>
              <w:bottom w:val="single" w:sz="4" w:space="0" w:color="auto"/>
              <w:right w:val="single" w:sz="4" w:space="0" w:color="auto"/>
            </w:tcBorders>
            <w:shd w:val="clear" w:color="D9D9D9" w:fill="E6E6E6"/>
            <w:vAlign w:val="center"/>
            <w:hideMark/>
          </w:tcPr>
          <w:p w14:paraId="14BBD873" w14:textId="77777777" w:rsidR="00451EC5" w:rsidRPr="005D78C4" w:rsidRDefault="00451EC5" w:rsidP="00DB66D9">
            <w:pPr>
              <w:spacing w:after="40" w:line="264" w:lineRule="auto"/>
              <w:jc w:val="center"/>
              <w:rPr>
                <w:rFonts w:ascii="Times New Roman" w:eastAsia="Times New Roman" w:hAnsi="Times New Roman" w:cs="Times New Roman"/>
                <w:b/>
                <w:bCs/>
                <w:lang w:eastAsia="bg-BG"/>
              </w:rPr>
            </w:pPr>
            <w:r w:rsidRPr="005D78C4">
              <w:rPr>
                <w:rFonts w:ascii="Times New Roman" w:eastAsia="Times New Roman" w:hAnsi="Times New Roman" w:cs="Times New Roman"/>
                <w:b/>
                <w:bCs/>
                <w:lang w:eastAsia="bg-BG"/>
              </w:rPr>
              <w:t>Уточнен план</w:t>
            </w:r>
          </w:p>
        </w:tc>
        <w:tc>
          <w:tcPr>
            <w:tcW w:w="1280" w:type="dxa"/>
            <w:tcBorders>
              <w:top w:val="single" w:sz="4" w:space="0" w:color="auto"/>
              <w:left w:val="nil"/>
              <w:bottom w:val="single" w:sz="4" w:space="0" w:color="auto"/>
              <w:right w:val="single" w:sz="4" w:space="0" w:color="auto"/>
            </w:tcBorders>
            <w:shd w:val="clear" w:color="D9D9D9" w:fill="E6E6E6"/>
            <w:noWrap/>
            <w:vAlign w:val="center"/>
            <w:hideMark/>
          </w:tcPr>
          <w:p w14:paraId="056B75A5" w14:textId="77777777" w:rsidR="00451EC5" w:rsidRPr="005D78C4" w:rsidRDefault="00451EC5" w:rsidP="00DB66D9">
            <w:pPr>
              <w:spacing w:after="40" w:line="264" w:lineRule="auto"/>
              <w:jc w:val="center"/>
              <w:rPr>
                <w:rFonts w:ascii="Times New Roman" w:eastAsia="Times New Roman" w:hAnsi="Times New Roman" w:cs="Times New Roman"/>
                <w:b/>
                <w:bCs/>
                <w:lang w:eastAsia="bg-BG"/>
              </w:rPr>
            </w:pPr>
            <w:r w:rsidRPr="005D78C4">
              <w:rPr>
                <w:rFonts w:ascii="Times New Roman" w:eastAsia="Times New Roman" w:hAnsi="Times New Roman" w:cs="Times New Roman"/>
                <w:b/>
                <w:bCs/>
                <w:lang w:eastAsia="bg-BG"/>
              </w:rPr>
              <w:t>Отчет</w:t>
            </w:r>
          </w:p>
        </w:tc>
      </w:tr>
      <w:tr w:rsidR="00C102BF" w:rsidRPr="005D78C4" w14:paraId="034735B1" w14:textId="77777777" w:rsidTr="00745CD0">
        <w:trPr>
          <w:gridAfter w:val="1"/>
          <w:wAfter w:w="26" w:type="dxa"/>
          <w:trHeight w:val="315"/>
        </w:trPr>
        <w:tc>
          <w:tcPr>
            <w:tcW w:w="2156" w:type="dxa"/>
            <w:tcBorders>
              <w:top w:val="nil"/>
              <w:left w:val="single" w:sz="4" w:space="0" w:color="auto"/>
              <w:bottom w:val="single" w:sz="4" w:space="0" w:color="auto"/>
              <w:right w:val="single" w:sz="4" w:space="0" w:color="auto"/>
            </w:tcBorders>
            <w:shd w:val="clear" w:color="auto" w:fill="auto"/>
            <w:noWrap/>
            <w:vAlign w:val="bottom"/>
            <w:hideMark/>
          </w:tcPr>
          <w:p w14:paraId="65B206EA" w14:textId="77777777" w:rsidR="00451EC5" w:rsidRPr="005D78C4" w:rsidRDefault="00451EC5" w:rsidP="00DB66D9">
            <w:pPr>
              <w:spacing w:after="40" w:line="264" w:lineRule="auto"/>
              <w:jc w:val="center"/>
              <w:rPr>
                <w:rFonts w:ascii="Times New Roman" w:eastAsia="Times New Roman" w:hAnsi="Times New Roman" w:cs="Times New Roman"/>
                <w:b/>
                <w:lang w:eastAsia="bg-BG"/>
              </w:rPr>
            </w:pPr>
          </w:p>
          <w:p w14:paraId="79C02ECC" w14:textId="77777777" w:rsidR="00451EC5" w:rsidRPr="005D78C4" w:rsidRDefault="00451EC5" w:rsidP="00DB66D9">
            <w:pPr>
              <w:spacing w:after="40" w:line="264" w:lineRule="auto"/>
              <w:jc w:val="center"/>
              <w:rPr>
                <w:rFonts w:ascii="Times New Roman" w:eastAsia="Times New Roman" w:hAnsi="Times New Roman" w:cs="Times New Roman"/>
                <w:b/>
                <w:lang w:eastAsia="bg-BG"/>
              </w:rPr>
            </w:pPr>
            <w:r w:rsidRPr="005D78C4">
              <w:rPr>
                <w:rFonts w:ascii="Times New Roman" w:eastAsia="Times New Roman" w:hAnsi="Times New Roman" w:cs="Times New Roman"/>
                <w:b/>
                <w:lang w:eastAsia="bg-BG"/>
              </w:rPr>
              <w:t>4200.00.00</w:t>
            </w:r>
          </w:p>
        </w:tc>
        <w:tc>
          <w:tcPr>
            <w:tcW w:w="3514" w:type="dxa"/>
            <w:tcBorders>
              <w:top w:val="nil"/>
              <w:left w:val="nil"/>
              <w:bottom w:val="single" w:sz="4" w:space="0" w:color="auto"/>
              <w:right w:val="single" w:sz="4" w:space="0" w:color="auto"/>
            </w:tcBorders>
            <w:shd w:val="clear" w:color="auto" w:fill="auto"/>
            <w:noWrap/>
            <w:vAlign w:val="bottom"/>
            <w:hideMark/>
          </w:tcPr>
          <w:p w14:paraId="5CD0489C" w14:textId="77777777" w:rsidR="00451EC5" w:rsidRPr="005D78C4" w:rsidRDefault="00451EC5" w:rsidP="00DB66D9">
            <w:pPr>
              <w:spacing w:after="40" w:line="264" w:lineRule="auto"/>
              <w:rPr>
                <w:rFonts w:ascii="Times New Roman" w:eastAsia="Times New Roman" w:hAnsi="Times New Roman" w:cs="Times New Roman"/>
                <w:b/>
                <w:bCs/>
                <w:lang w:eastAsia="bg-BG"/>
              </w:rPr>
            </w:pPr>
            <w:r w:rsidRPr="005D78C4">
              <w:rPr>
                <w:rFonts w:ascii="Times New Roman" w:eastAsia="Times New Roman" w:hAnsi="Times New Roman" w:cs="Times New Roman"/>
                <w:b/>
                <w:bCs/>
                <w:lang w:eastAsia="bg-BG"/>
              </w:rPr>
              <w:t>Общо разходи по бюджета на ПРБ</w:t>
            </w:r>
          </w:p>
        </w:tc>
        <w:tc>
          <w:tcPr>
            <w:tcW w:w="1280" w:type="dxa"/>
            <w:tcBorders>
              <w:top w:val="nil"/>
              <w:left w:val="nil"/>
              <w:bottom w:val="single" w:sz="4" w:space="0" w:color="auto"/>
              <w:right w:val="single" w:sz="4" w:space="0" w:color="auto"/>
            </w:tcBorders>
            <w:shd w:val="clear" w:color="auto" w:fill="auto"/>
            <w:noWrap/>
            <w:vAlign w:val="bottom"/>
            <w:hideMark/>
          </w:tcPr>
          <w:p w14:paraId="3D7E764B" w14:textId="4473D926" w:rsidR="00451EC5" w:rsidRPr="005D78C4" w:rsidRDefault="00FC336B" w:rsidP="00DB66D9">
            <w:pPr>
              <w:spacing w:after="40" w:line="264" w:lineRule="auto"/>
              <w:jc w:val="right"/>
              <w:rPr>
                <w:rFonts w:ascii="Times New Roman" w:eastAsia="Times New Roman" w:hAnsi="Times New Roman" w:cs="Times New Roman"/>
                <w:b/>
                <w:lang w:eastAsia="bg-BG"/>
              </w:rPr>
            </w:pPr>
            <w:r w:rsidRPr="005D78C4">
              <w:rPr>
                <w:rFonts w:ascii="Times New Roman" w:eastAsia="Times New Roman" w:hAnsi="Times New Roman" w:cs="Times New Roman"/>
                <w:b/>
                <w:lang w:eastAsia="bg-BG"/>
              </w:rPr>
              <w:t>7</w:t>
            </w:r>
            <w:r w:rsidR="00451EC5" w:rsidRPr="005D78C4">
              <w:rPr>
                <w:rFonts w:ascii="Times New Roman" w:eastAsia="Times New Roman" w:hAnsi="Times New Roman" w:cs="Times New Roman"/>
                <w:b/>
                <w:lang w:eastAsia="bg-BG"/>
              </w:rPr>
              <w:t xml:space="preserve"> </w:t>
            </w:r>
            <w:r w:rsidRPr="005D78C4">
              <w:rPr>
                <w:rFonts w:ascii="Times New Roman" w:eastAsia="Times New Roman" w:hAnsi="Times New Roman" w:cs="Times New Roman"/>
                <w:b/>
                <w:lang w:eastAsia="bg-BG"/>
              </w:rPr>
              <w:t>724</w:t>
            </w:r>
            <w:r w:rsidR="00451EC5" w:rsidRPr="005D78C4">
              <w:rPr>
                <w:rFonts w:ascii="Times New Roman" w:eastAsia="Times New Roman" w:hAnsi="Times New Roman" w:cs="Times New Roman"/>
                <w:b/>
                <w:lang w:eastAsia="bg-BG"/>
              </w:rPr>
              <w:t xml:space="preserve"> </w:t>
            </w:r>
            <w:r w:rsidRPr="005D78C4">
              <w:rPr>
                <w:rFonts w:ascii="Times New Roman" w:eastAsia="Times New Roman" w:hAnsi="Times New Roman" w:cs="Times New Roman"/>
                <w:b/>
                <w:lang w:eastAsia="bg-BG"/>
              </w:rPr>
              <w:t>9</w:t>
            </w:r>
            <w:r w:rsidR="00451EC5" w:rsidRPr="005D78C4">
              <w:rPr>
                <w:rFonts w:ascii="Times New Roman" w:eastAsia="Times New Roman" w:hAnsi="Times New Roman" w:cs="Times New Roman"/>
                <w:b/>
                <w:lang w:eastAsia="bg-BG"/>
              </w:rPr>
              <w:t>00</w:t>
            </w:r>
          </w:p>
        </w:tc>
        <w:tc>
          <w:tcPr>
            <w:tcW w:w="1272" w:type="dxa"/>
            <w:tcBorders>
              <w:top w:val="nil"/>
              <w:left w:val="nil"/>
              <w:bottom w:val="single" w:sz="4" w:space="0" w:color="auto"/>
              <w:right w:val="single" w:sz="4" w:space="0" w:color="auto"/>
            </w:tcBorders>
            <w:shd w:val="clear" w:color="auto" w:fill="auto"/>
            <w:noWrap/>
            <w:vAlign w:val="bottom"/>
            <w:hideMark/>
          </w:tcPr>
          <w:p w14:paraId="378CEB1F" w14:textId="384CFEB5" w:rsidR="00451EC5" w:rsidRPr="005D78C4" w:rsidRDefault="00FC6728" w:rsidP="00DB66D9">
            <w:pPr>
              <w:spacing w:after="40" w:line="264" w:lineRule="auto"/>
              <w:jc w:val="right"/>
              <w:rPr>
                <w:rFonts w:ascii="Times New Roman" w:eastAsia="Times New Roman" w:hAnsi="Times New Roman" w:cs="Times New Roman"/>
                <w:b/>
                <w:lang w:eastAsia="bg-BG"/>
              </w:rPr>
            </w:pPr>
            <w:r w:rsidRPr="005D78C4">
              <w:rPr>
                <w:rFonts w:ascii="Times New Roman" w:eastAsia="Times New Roman" w:hAnsi="Times New Roman" w:cs="Times New Roman"/>
                <w:b/>
                <w:lang w:eastAsia="bg-BG"/>
              </w:rPr>
              <w:t>7</w:t>
            </w:r>
            <w:r w:rsidR="00451EC5" w:rsidRPr="005D78C4">
              <w:rPr>
                <w:rFonts w:ascii="Times New Roman" w:eastAsia="Times New Roman" w:hAnsi="Times New Roman" w:cs="Times New Roman"/>
                <w:b/>
                <w:lang w:eastAsia="bg-BG"/>
              </w:rPr>
              <w:t xml:space="preserve"> </w:t>
            </w:r>
            <w:r w:rsidR="00FC336B" w:rsidRPr="005D78C4">
              <w:rPr>
                <w:rFonts w:ascii="Times New Roman" w:eastAsia="Times New Roman" w:hAnsi="Times New Roman" w:cs="Times New Roman"/>
                <w:b/>
                <w:lang w:eastAsia="bg-BG"/>
              </w:rPr>
              <w:t>724</w:t>
            </w:r>
            <w:r w:rsidR="00451EC5" w:rsidRPr="005D78C4">
              <w:rPr>
                <w:rFonts w:ascii="Times New Roman" w:eastAsia="Times New Roman" w:hAnsi="Times New Roman" w:cs="Times New Roman"/>
                <w:b/>
                <w:lang w:eastAsia="bg-BG"/>
              </w:rPr>
              <w:t xml:space="preserve"> </w:t>
            </w:r>
            <w:r w:rsidR="00FC336B" w:rsidRPr="005D78C4">
              <w:rPr>
                <w:rFonts w:ascii="Times New Roman" w:eastAsia="Times New Roman" w:hAnsi="Times New Roman" w:cs="Times New Roman"/>
                <w:b/>
                <w:lang w:eastAsia="bg-BG"/>
              </w:rPr>
              <w:t>900</w:t>
            </w:r>
          </w:p>
        </w:tc>
        <w:tc>
          <w:tcPr>
            <w:tcW w:w="1280" w:type="dxa"/>
            <w:tcBorders>
              <w:top w:val="nil"/>
              <w:left w:val="nil"/>
              <w:bottom w:val="single" w:sz="4" w:space="0" w:color="auto"/>
              <w:right w:val="single" w:sz="4" w:space="0" w:color="auto"/>
            </w:tcBorders>
            <w:shd w:val="clear" w:color="auto" w:fill="auto"/>
            <w:noWrap/>
            <w:vAlign w:val="bottom"/>
            <w:hideMark/>
          </w:tcPr>
          <w:p w14:paraId="3424CFDE" w14:textId="1CED9FAC" w:rsidR="00451EC5" w:rsidRPr="005D78C4" w:rsidRDefault="00AB01B1" w:rsidP="00DB66D9">
            <w:pPr>
              <w:spacing w:after="40" w:line="264" w:lineRule="auto"/>
              <w:jc w:val="right"/>
              <w:rPr>
                <w:rFonts w:ascii="Times New Roman" w:eastAsia="Times New Roman" w:hAnsi="Times New Roman" w:cs="Times New Roman"/>
                <w:b/>
                <w:lang w:eastAsia="bg-BG"/>
              </w:rPr>
            </w:pPr>
            <w:r w:rsidRPr="005D78C4">
              <w:rPr>
                <w:rFonts w:ascii="Times New Roman" w:eastAsia="Times New Roman" w:hAnsi="Times New Roman" w:cs="Times New Roman"/>
                <w:b/>
                <w:lang w:eastAsia="bg-BG"/>
              </w:rPr>
              <w:t>3</w:t>
            </w:r>
            <w:r w:rsidR="00FC6728" w:rsidRPr="005D78C4">
              <w:rPr>
                <w:rFonts w:ascii="Times New Roman" w:eastAsia="Times New Roman" w:hAnsi="Times New Roman" w:cs="Times New Roman"/>
                <w:b/>
                <w:lang w:eastAsia="bg-BG"/>
              </w:rPr>
              <w:t> </w:t>
            </w:r>
            <w:r w:rsidR="00FC336B" w:rsidRPr="005D78C4">
              <w:rPr>
                <w:rFonts w:ascii="Times New Roman" w:eastAsia="Times New Roman" w:hAnsi="Times New Roman" w:cs="Times New Roman"/>
                <w:b/>
                <w:lang w:eastAsia="bg-BG"/>
              </w:rPr>
              <w:t>331</w:t>
            </w:r>
            <w:r w:rsidR="00FC6728" w:rsidRPr="005D78C4">
              <w:rPr>
                <w:rFonts w:ascii="Times New Roman" w:eastAsia="Times New Roman" w:hAnsi="Times New Roman" w:cs="Times New Roman"/>
                <w:b/>
                <w:lang w:eastAsia="bg-BG"/>
              </w:rPr>
              <w:t xml:space="preserve"> </w:t>
            </w:r>
            <w:r w:rsidR="00FC336B" w:rsidRPr="005D78C4">
              <w:rPr>
                <w:rFonts w:ascii="Times New Roman" w:eastAsia="Times New Roman" w:hAnsi="Times New Roman" w:cs="Times New Roman"/>
                <w:b/>
                <w:lang w:eastAsia="bg-BG"/>
              </w:rPr>
              <w:t>624</w:t>
            </w:r>
          </w:p>
        </w:tc>
      </w:tr>
      <w:tr w:rsidR="00C102BF" w:rsidRPr="005D78C4" w14:paraId="77624265" w14:textId="77777777" w:rsidTr="00745CD0">
        <w:trPr>
          <w:gridAfter w:val="1"/>
          <w:wAfter w:w="26" w:type="dxa"/>
          <w:trHeight w:val="1260"/>
        </w:trPr>
        <w:tc>
          <w:tcPr>
            <w:tcW w:w="2156" w:type="dxa"/>
            <w:tcBorders>
              <w:top w:val="nil"/>
              <w:left w:val="single" w:sz="4" w:space="0" w:color="auto"/>
              <w:bottom w:val="single" w:sz="4" w:space="0" w:color="auto"/>
              <w:right w:val="single" w:sz="4" w:space="0" w:color="auto"/>
            </w:tcBorders>
            <w:shd w:val="clear" w:color="D9D9D9" w:fill="E6E6E6"/>
            <w:noWrap/>
            <w:vAlign w:val="bottom"/>
            <w:hideMark/>
          </w:tcPr>
          <w:p w14:paraId="5DE38A0F" w14:textId="77777777" w:rsidR="00451EC5" w:rsidRPr="005D78C4" w:rsidRDefault="00451EC5" w:rsidP="00DB66D9">
            <w:pPr>
              <w:spacing w:after="40" w:line="264" w:lineRule="auto"/>
              <w:jc w:val="center"/>
              <w:rPr>
                <w:rFonts w:ascii="Times New Roman" w:eastAsia="Times New Roman" w:hAnsi="Times New Roman" w:cs="Times New Roman"/>
                <w:b/>
                <w:bCs/>
                <w:lang w:eastAsia="bg-BG"/>
              </w:rPr>
            </w:pPr>
            <w:r w:rsidRPr="005D78C4">
              <w:rPr>
                <w:rFonts w:ascii="Times New Roman" w:eastAsia="Times New Roman" w:hAnsi="Times New Roman" w:cs="Times New Roman"/>
                <w:b/>
                <w:bCs/>
                <w:lang w:eastAsia="bg-BG"/>
              </w:rPr>
              <w:t>4200.01.00</w:t>
            </w:r>
          </w:p>
        </w:tc>
        <w:tc>
          <w:tcPr>
            <w:tcW w:w="3514" w:type="dxa"/>
            <w:tcBorders>
              <w:top w:val="nil"/>
              <w:left w:val="nil"/>
              <w:bottom w:val="single" w:sz="4" w:space="0" w:color="auto"/>
              <w:right w:val="single" w:sz="4" w:space="0" w:color="auto"/>
            </w:tcBorders>
            <w:shd w:val="clear" w:color="D9D9D9" w:fill="E6E6E6"/>
            <w:vAlign w:val="bottom"/>
            <w:hideMark/>
          </w:tcPr>
          <w:p w14:paraId="7D345B95" w14:textId="77777777" w:rsidR="00451EC5" w:rsidRPr="005D78C4" w:rsidRDefault="00451EC5" w:rsidP="00DB66D9">
            <w:pPr>
              <w:spacing w:after="40" w:line="264" w:lineRule="auto"/>
              <w:rPr>
                <w:rFonts w:ascii="Times New Roman" w:eastAsia="Times New Roman" w:hAnsi="Times New Roman" w:cs="Times New Roman"/>
                <w:b/>
                <w:bCs/>
                <w:lang w:eastAsia="bg-BG"/>
              </w:rPr>
            </w:pPr>
            <w:r w:rsidRPr="005D78C4">
              <w:rPr>
                <w:rFonts w:ascii="Times New Roman" w:eastAsia="Times New Roman" w:hAnsi="Times New Roman" w:cs="Times New Roman"/>
                <w:b/>
                <w:bCs/>
                <w:lang w:eastAsia="bg-BG"/>
              </w:rPr>
              <w:t>Функционална област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1280" w:type="dxa"/>
            <w:tcBorders>
              <w:top w:val="nil"/>
              <w:left w:val="nil"/>
              <w:bottom w:val="single" w:sz="4" w:space="0" w:color="auto"/>
              <w:right w:val="single" w:sz="4" w:space="0" w:color="auto"/>
            </w:tcBorders>
            <w:shd w:val="clear" w:color="D9D9D9" w:fill="E6E6E6"/>
            <w:noWrap/>
            <w:vAlign w:val="bottom"/>
            <w:hideMark/>
          </w:tcPr>
          <w:p w14:paraId="5CAA56D1" w14:textId="2AE8DB8F" w:rsidR="00451EC5" w:rsidRPr="005D78C4" w:rsidRDefault="00FC336B" w:rsidP="00DB66D9">
            <w:pPr>
              <w:spacing w:after="40" w:line="264" w:lineRule="auto"/>
              <w:jc w:val="right"/>
              <w:rPr>
                <w:rFonts w:ascii="Times New Roman" w:eastAsia="Times New Roman" w:hAnsi="Times New Roman" w:cs="Times New Roman"/>
                <w:b/>
                <w:lang w:eastAsia="bg-BG"/>
              </w:rPr>
            </w:pPr>
            <w:r w:rsidRPr="005D78C4">
              <w:rPr>
                <w:rFonts w:ascii="Times New Roman" w:eastAsia="Times New Roman" w:hAnsi="Times New Roman" w:cs="Times New Roman"/>
                <w:b/>
                <w:lang w:eastAsia="bg-BG"/>
              </w:rPr>
              <w:t>7</w:t>
            </w:r>
            <w:r w:rsidR="00451EC5" w:rsidRPr="005D78C4">
              <w:rPr>
                <w:rFonts w:ascii="Times New Roman" w:eastAsia="Times New Roman" w:hAnsi="Times New Roman" w:cs="Times New Roman"/>
                <w:b/>
                <w:lang w:eastAsia="bg-BG"/>
              </w:rPr>
              <w:t> </w:t>
            </w:r>
            <w:r w:rsidRPr="005D78C4">
              <w:rPr>
                <w:rFonts w:ascii="Times New Roman" w:eastAsia="Times New Roman" w:hAnsi="Times New Roman" w:cs="Times New Roman"/>
                <w:b/>
                <w:lang w:eastAsia="bg-BG"/>
              </w:rPr>
              <w:t>724</w:t>
            </w:r>
            <w:r w:rsidR="00451EC5" w:rsidRPr="005D78C4">
              <w:rPr>
                <w:rFonts w:ascii="Times New Roman" w:eastAsia="Times New Roman" w:hAnsi="Times New Roman" w:cs="Times New Roman"/>
                <w:b/>
                <w:lang w:eastAsia="bg-BG"/>
              </w:rPr>
              <w:t xml:space="preserve"> </w:t>
            </w:r>
            <w:r w:rsidRPr="005D78C4">
              <w:rPr>
                <w:rFonts w:ascii="Times New Roman" w:eastAsia="Times New Roman" w:hAnsi="Times New Roman" w:cs="Times New Roman"/>
                <w:b/>
                <w:lang w:eastAsia="bg-BG"/>
              </w:rPr>
              <w:t>9</w:t>
            </w:r>
            <w:r w:rsidR="00FC6728" w:rsidRPr="005D78C4">
              <w:rPr>
                <w:rFonts w:ascii="Times New Roman" w:eastAsia="Times New Roman" w:hAnsi="Times New Roman" w:cs="Times New Roman"/>
                <w:b/>
                <w:lang w:eastAsia="bg-BG"/>
              </w:rPr>
              <w:t>00</w:t>
            </w:r>
          </w:p>
        </w:tc>
        <w:tc>
          <w:tcPr>
            <w:tcW w:w="1272" w:type="dxa"/>
            <w:tcBorders>
              <w:top w:val="nil"/>
              <w:left w:val="nil"/>
              <w:bottom w:val="single" w:sz="4" w:space="0" w:color="auto"/>
              <w:right w:val="single" w:sz="4" w:space="0" w:color="auto"/>
            </w:tcBorders>
            <w:shd w:val="clear" w:color="D9D9D9" w:fill="E6E6E6"/>
            <w:noWrap/>
            <w:vAlign w:val="bottom"/>
            <w:hideMark/>
          </w:tcPr>
          <w:p w14:paraId="0DD17B27" w14:textId="6F8B9956" w:rsidR="00451EC5" w:rsidRPr="005D78C4" w:rsidRDefault="00FC6728" w:rsidP="00DB66D9">
            <w:pPr>
              <w:spacing w:after="40" w:line="264" w:lineRule="auto"/>
              <w:jc w:val="right"/>
              <w:rPr>
                <w:rFonts w:ascii="Times New Roman" w:eastAsia="Times New Roman" w:hAnsi="Times New Roman" w:cs="Times New Roman"/>
                <w:b/>
                <w:lang w:eastAsia="bg-BG"/>
              </w:rPr>
            </w:pPr>
            <w:r w:rsidRPr="005D78C4">
              <w:rPr>
                <w:rFonts w:ascii="Times New Roman" w:eastAsia="Times New Roman" w:hAnsi="Times New Roman" w:cs="Times New Roman"/>
                <w:b/>
                <w:lang w:eastAsia="bg-BG"/>
              </w:rPr>
              <w:t>7</w:t>
            </w:r>
            <w:r w:rsidR="00AB01B1" w:rsidRPr="005D78C4">
              <w:rPr>
                <w:rFonts w:ascii="Times New Roman" w:eastAsia="Times New Roman" w:hAnsi="Times New Roman" w:cs="Times New Roman"/>
                <w:b/>
                <w:lang w:eastAsia="bg-BG"/>
              </w:rPr>
              <w:t> </w:t>
            </w:r>
            <w:r w:rsidR="00FC336B" w:rsidRPr="005D78C4">
              <w:rPr>
                <w:rFonts w:ascii="Times New Roman" w:eastAsia="Times New Roman" w:hAnsi="Times New Roman" w:cs="Times New Roman"/>
                <w:b/>
                <w:lang w:eastAsia="bg-BG"/>
              </w:rPr>
              <w:t>724</w:t>
            </w:r>
            <w:r w:rsidR="00AB01B1" w:rsidRPr="005D78C4">
              <w:rPr>
                <w:rFonts w:ascii="Times New Roman" w:eastAsia="Times New Roman" w:hAnsi="Times New Roman" w:cs="Times New Roman"/>
                <w:b/>
                <w:lang w:eastAsia="bg-BG"/>
              </w:rPr>
              <w:t xml:space="preserve"> </w:t>
            </w:r>
            <w:r w:rsidR="00FC336B" w:rsidRPr="005D78C4">
              <w:rPr>
                <w:rFonts w:ascii="Times New Roman" w:eastAsia="Times New Roman" w:hAnsi="Times New Roman" w:cs="Times New Roman"/>
                <w:b/>
                <w:lang w:eastAsia="bg-BG"/>
              </w:rPr>
              <w:t>900</w:t>
            </w:r>
          </w:p>
        </w:tc>
        <w:tc>
          <w:tcPr>
            <w:tcW w:w="1280" w:type="dxa"/>
            <w:tcBorders>
              <w:top w:val="nil"/>
              <w:left w:val="nil"/>
              <w:bottom w:val="single" w:sz="4" w:space="0" w:color="auto"/>
              <w:right w:val="single" w:sz="4" w:space="0" w:color="auto"/>
            </w:tcBorders>
            <w:shd w:val="clear" w:color="D9D9D9" w:fill="E6E6E6"/>
            <w:noWrap/>
            <w:vAlign w:val="bottom"/>
            <w:hideMark/>
          </w:tcPr>
          <w:p w14:paraId="386E37DF" w14:textId="2683ED57" w:rsidR="00451EC5" w:rsidRPr="005D78C4" w:rsidRDefault="00AB01B1" w:rsidP="00DB66D9">
            <w:pPr>
              <w:spacing w:after="40" w:line="264" w:lineRule="auto"/>
              <w:jc w:val="right"/>
              <w:rPr>
                <w:rFonts w:ascii="Times New Roman" w:eastAsia="Times New Roman" w:hAnsi="Times New Roman" w:cs="Times New Roman"/>
                <w:b/>
                <w:lang w:eastAsia="bg-BG"/>
              </w:rPr>
            </w:pPr>
            <w:r w:rsidRPr="005D78C4">
              <w:rPr>
                <w:rFonts w:ascii="Times New Roman" w:eastAsia="Times New Roman" w:hAnsi="Times New Roman" w:cs="Times New Roman"/>
                <w:b/>
                <w:lang w:eastAsia="bg-BG"/>
              </w:rPr>
              <w:t>3</w:t>
            </w:r>
            <w:r w:rsidR="00451EC5" w:rsidRPr="005D78C4">
              <w:rPr>
                <w:rFonts w:ascii="Times New Roman" w:eastAsia="Times New Roman" w:hAnsi="Times New Roman" w:cs="Times New Roman"/>
                <w:b/>
                <w:lang w:eastAsia="bg-BG"/>
              </w:rPr>
              <w:t> </w:t>
            </w:r>
            <w:r w:rsidR="00FC336B" w:rsidRPr="005D78C4">
              <w:rPr>
                <w:rFonts w:ascii="Times New Roman" w:eastAsia="Times New Roman" w:hAnsi="Times New Roman" w:cs="Times New Roman"/>
                <w:b/>
                <w:lang w:eastAsia="bg-BG"/>
              </w:rPr>
              <w:t>331</w:t>
            </w:r>
            <w:r w:rsidR="00451EC5" w:rsidRPr="005D78C4">
              <w:rPr>
                <w:rFonts w:ascii="Times New Roman" w:eastAsia="Times New Roman" w:hAnsi="Times New Roman" w:cs="Times New Roman"/>
                <w:b/>
                <w:lang w:eastAsia="bg-BG"/>
              </w:rPr>
              <w:t xml:space="preserve"> </w:t>
            </w:r>
            <w:r w:rsidR="00FC336B" w:rsidRPr="005D78C4">
              <w:rPr>
                <w:rFonts w:ascii="Times New Roman" w:eastAsia="Times New Roman" w:hAnsi="Times New Roman" w:cs="Times New Roman"/>
                <w:b/>
                <w:lang w:eastAsia="bg-BG"/>
              </w:rPr>
              <w:t>624</w:t>
            </w:r>
          </w:p>
        </w:tc>
      </w:tr>
      <w:tr w:rsidR="00C102BF" w:rsidRPr="005D78C4" w14:paraId="654FE9C9" w14:textId="77777777" w:rsidTr="00745CD0">
        <w:trPr>
          <w:gridAfter w:val="1"/>
          <w:wAfter w:w="26" w:type="dxa"/>
          <w:trHeight w:val="1260"/>
        </w:trPr>
        <w:tc>
          <w:tcPr>
            <w:tcW w:w="2156" w:type="dxa"/>
            <w:tcBorders>
              <w:top w:val="nil"/>
              <w:left w:val="single" w:sz="4" w:space="0" w:color="auto"/>
              <w:bottom w:val="single" w:sz="4" w:space="0" w:color="auto"/>
              <w:right w:val="single" w:sz="4" w:space="0" w:color="auto"/>
            </w:tcBorders>
            <w:shd w:val="clear" w:color="auto" w:fill="auto"/>
            <w:noWrap/>
            <w:vAlign w:val="bottom"/>
            <w:hideMark/>
          </w:tcPr>
          <w:p w14:paraId="0F9A1B79" w14:textId="77777777" w:rsidR="00451EC5" w:rsidRPr="005D78C4" w:rsidRDefault="00451EC5" w:rsidP="00DB66D9">
            <w:pPr>
              <w:spacing w:after="40" w:line="264" w:lineRule="auto"/>
              <w:jc w:val="center"/>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4200.01.01</w:t>
            </w:r>
          </w:p>
        </w:tc>
        <w:tc>
          <w:tcPr>
            <w:tcW w:w="3514" w:type="dxa"/>
            <w:tcBorders>
              <w:top w:val="nil"/>
              <w:left w:val="nil"/>
              <w:bottom w:val="single" w:sz="4" w:space="0" w:color="auto"/>
              <w:right w:val="single" w:sz="4" w:space="0" w:color="auto"/>
            </w:tcBorders>
            <w:shd w:val="clear" w:color="auto" w:fill="auto"/>
            <w:vAlign w:val="bottom"/>
            <w:hideMark/>
          </w:tcPr>
          <w:p w14:paraId="261CB153" w14:textId="77777777" w:rsidR="00451EC5" w:rsidRPr="005D78C4" w:rsidRDefault="00451EC5" w:rsidP="00DB66D9">
            <w:pPr>
              <w:spacing w:after="40" w:line="264" w:lineRule="auto"/>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Бюджетна програма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1280" w:type="dxa"/>
            <w:tcBorders>
              <w:top w:val="nil"/>
              <w:left w:val="nil"/>
              <w:bottom w:val="single" w:sz="4" w:space="0" w:color="auto"/>
              <w:right w:val="single" w:sz="4" w:space="0" w:color="auto"/>
            </w:tcBorders>
            <w:shd w:val="clear" w:color="auto" w:fill="auto"/>
            <w:noWrap/>
            <w:vAlign w:val="bottom"/>
            <w:hideMark/>
          </w:tcPr>
          <w:p w14:paraId="35CB71C1" w14:textId="62A5A2EB" w:rsidR="00451EC5" w:rsidRPr="005D78C4" w:rsidRDefault="00FC336B"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7</w:t>
            </w:r>
            <w:r w:rsidR="00451EC5" w:rsidRPr="005D78C4">
              <w:rPr>
                <w:rFonts w:ascii="Times New Roman" w:eastAsia="Times New Roman" w:hAnsi="Times New Roman" w:cs="Times New Roman"/>
                <w:lang w:eastAsia="bg-BG"/>
              </w:rPr>
              <w:t> </w:t>
            </w:r>
            <w:r w:rsidRPr="005D78C4">
              <w:rPr>
                <w:rFonts w:ascii="Times New Roman" w:eastAsia="Times New Roman" w:hAnsi="Times New Roman" w:cs="Times New Roman"/>
                <w:lang w:eastAsia="bg-BG"/>
              </w:rPr>
              <w:t>724</w:t>
            </w:r>
            <w:r w:rsidR="00451EC5" w:rsidRPr="005D78C4">
              <w:rPr>
                <w:rFonts w:ascii="Times New Roman" w:eastAsia="Times New Roman" w:hAnsi="Times New Roman" w:cs="Times New Roman"/>
                <w:lang w:eastAsia="bg-BG"/>
              </w:rPr>
              <w:t xml:space="preserve"> </w:t>
            </w:r>
            <w:r w:rsidRPr="005D78C4">
              <w:rPr>
                <w:rFonts w:ascii="Times New Roman" w:eastAsia="Times New Roman" w:hAnsi="Times New Roman" w:cs="Times New Roman"/>
                <w:lang w:eastAsia="bg-BG"/>
              </w:rPr>
              <w:t>9</w:t>
            </w:r>
            <w:r w:rsidR="00451EC5" w:rsidRPr="005D78C4">
              <w:rPr>
                <w:rFonts w:ascii="Times New Roman" w:eastAsia="Times New Roman" w:hAnsi="Times New Roman" w:cs="Times New Roman"/>
                <w:lang w:eastAsia="bg-BG"/>
              </w:rPr>
              <w:t>00</w:t>
            </w:r>
          </w:p>
        </w:tc>
        <w:tc>
          <w:tcPr>
            <w:tcW w:w="1272" w:type="dxa"/>
            <w:tcBorders>
              <w:top w:val="nil"/>
              <w:left w:val="nil"/>
              <w:bottom w:val="single" w:sz="4" w:space="0" w:color="auto"/>
              <w:right w:val="single" w:sz="4" w:space="0" w:color="auto"/>
            </w:tcBorders>
            <w:shd w:val="clear" w:color="auto" w:fill="auto"/>
            <w:noWrap/>
            <w:vAlign w:val="bottom"/>
            <w:hideMark/>
          </w:tcPr>
          <w:p w14:paraId="58D7C038" w14:textId="3F811255" w:rsidR="00451EC5" w:rsidRPr="005D78C4" w:rsidRDefault="00FC6728"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7</w:t>
            </w:r>
            <w:r w:rsidR="00451EC5" w:rsidRPr="005D78C4">
              <w:rPr>
                <w:rFonts w:ascii="Times New Roman" w:eastAsia="Times New Roman" w:hAnsi="Times New Roman" w:cs="Times New Roman"/>
                <w:lang w:eastAsia="bg-BG"/>
              </w:rPr>
              <w:t> </w:t>
            </w:r>
            <w:r w:rsidR="00FC336B" w:rsidRPr="005D78C4">
              <w:rPr>
                <w:rFonts w:ascii="Times New Roman" w:eastAsia="Times New Roman" w:hAnsi="Times New Roman" w:cs="Times New Roman"/>
                <w:lang w:eastAsia="bg-BG"/>
              </w:rPr>
              <w:t>724</w:t>
            </w:r>
            <w:r w:rsidR="00451EC5" w:rsidRPr="005D78C4">
              <w:rPr>
                <w:rFonts w:ascii="Times New Roman" w:eastAsia="Times New Roman" w:hAnsi="Times New Roman" w:cs="Times New Roman"/>
                <w:lang w:eastAsia="bg-BG"/>
              </w:rPr>
              <w:t xml:space="preserve"> </w:t>
            </w:r>
            <w:r w:rsidR="00FC336B" w:rsidRPr="005D78C4">
              <w:rPr>
                <w:rFonts w:ascii="Times New Roman" w:eastAsia="Times New Roman" w:hAnsi="Times New Roman" w:cs="Times New Roman"/>
                <w:lang w:eastAsia="bg-BG"/>
              </w:rPr>
              <w:t>900</w:t>
            </w:r>
          </w:p>
        </w:tc>
        <w:tc>
          <w:tcPr>
            <w:tcW w:w="1280" w:type="dxa"/>
            <w:tcBorders>
              <w:top w:val="nil"/>
              <w:left w:val="nil"/>
              <w:bottom w:val="single" w:sz="4" w:space="0" w:color="auto"/>
              <w:right w:val="single" w:sz="4" w:space="0" w:color="auto"/>
            </w:tcBorders>
            <w:shd w:val="clear" w:color="auto" w:fill="auto"/>
            <w:noWrap/>
            <w:vAlign w:val="bottom"/>
            <w:hideMark/>
          </w:tcPr>
          <w:p w14:paraId="67F60CA4" w14:textId="0160875C" w:rsidR="00451EC5" w:rsidRPr="005D78C4" w:rsidRDefault="00AB01B1"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3</w:t>
            </w:r>
            <w:r w:rsidR="00FC6728" w:rsidRPr="005D78C4">
              <w:rPr>
                <w:rFonts w:ascii="Times New Roman" w:eastAsia="Times New Roman" w:hAnsi="Times New Roman" w:cs="Times New Roman"/>
                <w:lang w:eastAsia="bg-BG"/>
              </w:rPr>
              <w:t> </w:t>
            </w:r>
            <w:r w:rsidR="00FC336B" w:rsidRPr="005D78C4">
              <w:rPr>
                <w:rFonts w:ascii="Times New Roman" w:eastAsia="Times New Roman" w:hAnsi="Times New Roman" w:cs="Times New Roman"/>
                <w:lang w:eastAsia="bg-BG"/>
              </w:rPr>
              <w:t>331</w:t>
            </w:r>
            <w:r w:rsidR="00FC6728" w:rsidRPr="005D78C4">
              <w:rPr>
                <w:rFonts w:ascii="Times New Roman" w:eastAsia="Times New Roman" w:hAnsi="Times New Roman" w:cs="Times New Roman"/>
                <w:lang w:eastAsia="bg-BG"/>
              </w:rPr>
              <w:t xml:space="preserve"> </w:t>
            </w:r>
            <w:r w:rsidR="00FC336B" w:rsidRPr="005D78C4">
              <w:rPr>
                <w:rFonts w:ascii="Times New Roman" w:eastAsia="Times New Roman" w:hAnsi="Times New Roman" w:cs="Times New Roman"/>
                <w:lang w:eastAsia="bg-BG"/>
              </w:rPr>
              <w:t>624</w:t>
            </w:r>
          </w:p>
        </w:tc>
      </w:tr>
    </w:tbl>
    <w:p w14:paraId="670E072E" w14:textId="6EF622F9" w:rsidR="003369A2" w:rsidRPr="005D78C4" w:rsidRDefault="003369A2" w:rsidP="00DB66D9">
      <w:pPr>
        <w:spacing w:after="40" w:line="264" w:lineRule="auto"/>
        <w:rPr>
          <w:rFonts w:ascii="Times New Roman" w:eastAsia="Times New Roman" w:hAnsi="Times New Roman" w:cs="Times New Roman"/>
          <w:sz w:val="28"/>
          <w:szCs w:val="28"/>
          <w:highlight w:val="yellow"/>
          <w:lang w:eastAsia="bg-BG"/>
        </w:rPr>
        <w:sectPr w:rsidR="003369A2" w:rsidRPr="005D78C4" w:rsidSect="003567A1">
          <w:footerReference w:type="default" r:id="rId9"/>
          <w:pgSz w:w="11906" w:h="16838"/>
          <w:pgMar w:top="851" w:right="1133" w:bottom="993" w:left="1418" w:header="708" w:footer="288" w:gutter="0"/>
          <w:cols w:space="708"/>
          <w:docGrid w:linePitch="360"/>
        </w:sectPr>
      </w:pPr>
    </w:p>
    <w:p w14:paraId="20366D71" w14:textId="151D9EE0" w:rsidR="003369A2" w:rsidRPr="005D78C4" w:rsidRDefault="003369A2" w:rsidP="00DB66D9">
      <w:pPr>
        <w:spacing w:after="40" w:line="264" w:lineRule="auto"/>
        <w:rPr>
          <w:rFonts w:ascii="Times New Roman" w:eastAsia="Times New Roman" w:hAnsi="Times New Roman" w:cs="Times New Roman"/>
          <w:sz w:val="28"/>
          <w:szCs w:val="28"/>
          <w:highlight w:val="yellow"/>
          <w:lang w:val="en-US" w:eastAsia="bg-BG"/>
        </w:rPr>
      </w:pPr>
    </w:p>
    <w:tbl>
      <w:tblPr>
        <w:tblW w:w="14034" w:type="dxa"/>
        <w:tblLayout w:type="fixed"/>
        <w:tblCellMar>
          <w:left w:w="70" w:type="dxa"/>
          <w:right w:w="70" w:type="dxa"/>
        </w:tblCellMar>
        <w:tblLook w:val="04A0" w:firstRow="1" w:lastRow="0" w:firstColumn="1" w:lastColumn="0" w:noHBand="0" w:noVBand="1"/>
      </w:tblPr>
      <w:tblGrid>
        <w:gridCol w:w="70"/>
        <w:gridCol w:w="950"/>
        <w:gridCol w:w="3019"/>
        <w:gridCol w:w="1134"/>
        <w:gridCol w:w="993"/>
        <w:gridCol w:w="1134"/>
        <w:gridCol w:w="1134"/>
        <w:gridCol w:w="992"/>
        <w:gridCol w:w="992"/>
        <w:gridCol w:w="1134"/>
        <w:gridCol w:w="992"/>
        <w:gridCol w:w="993"/>
        <w:gridCol w:w="425"/>
        <w:gridCol w:w="72"/>
      </w:tblGrid>
      <w:tr w:rsidR="00C102BF" w:rsidRPr="005D78C4" w14:paraId="5095A375" w14:textId="77777777" w:rsidTr="00C33ABA">
        <w:trPr>
          <w:gridBefore w:val="1"/>
          <w:gridAfter w:val="2"/>
          <w:wBefore w:w="70" w:type="dxa"/>
          <w:wAfter w:w="497" w:type="dxa"/>
          <w:trHeight w:val="666"/>
        </w:trPr>
        <w:tc>
          <w:tcPr>
            <w:tcW w:w="13467" w:type="dxa"/>
            <w:gridSpan w:val="11"/>
            <w:tcBorders>
              <w:top w:val="nil"/>
              <w:left w:val="nil"/>
              <w:bottom w:val="nil"/>
              <w:right w:val="nil"/>
            </w:tcBorders>
            <w:shd w:val="clear" w:color="auto" w:fill="auto"/>
            <w:noWrap/>
            <w:vAlign w:val="center"/>
            <w:hideMark/>
          </w:tcPr>
          <w:p w14:paraId="4CB5900C" w14:textId="77777777" w:rsidR="008D2740" w:rsidRPr="005D78C4" w:rsidRDefault="008D2740" w:rsidP="00DB66D9">
            <w:pPr>
              <w:spacing w:after="40" w:line="264" w:lineRule="auto"/>
              <w:rPr>
                <w:rFonts w:ascii="Times New Roman" w:eastAsia="Times New Roman" w:hAnsi="Times New Roman" w:cs="Times New Roman"/>
                <w:sz w:val="24"/>
                <w:szCs w:val="24"/>
                <w:lang w:eastAsia="bg-BG"/>
              </w:rPr>
            </w:pPr>
            <w:r w:rsidRPr="005D78C4">
              <w:rPr>
                <w:rFonts w:ascii="Times New Roman" w:eastAsia="Times New Roman" w:hAnsi="Times New Roman" w:cs="Times New Roman"/>
                <w:b/>
                <w:i/>
                <w:sz w:val="24"/>
                <w:szCs w:val="24"/>
                <w:lang w:eastAsia="bg-BG"/>
              </w:rPr>
              <w:t xml:space="preserve">Приложение № 2б </w:t>
            </w:r>
            <w:r w:rsidRPr="005D78C4">
              <w:rPr>
                <w:rFonts w:ascii="Times New Roman" w:eastAsia="Times New Roman" w:hAnsi="Times New Roman" w:cs="Times New Roman"/>
                <w:sz w:val="24"/>
                <w:szCs w:val="24"/>
                <w:lang w:eastAsia="bg-BG"/>
              </w:rPr>
              <w:t>– Отчет на консолидираните разходи по бюджетните програми в рамките на функционалната област</w:t>
            </w:r>
          </w:p>
          <w:p w14:paraId="6C63ED5B" w14:textId="77777777" w:rsidR="008D2740" w:rsidRPr="005D78C4" w:rsidRDefault="008D2740" w:rsidP="00DB66D9">
            <w:pPr>
              <w:spacing w:after="40" w:line="264" w:lineRule="auto"/>
              <w:rPr>
                <w:rFonts w:ascii="Times New Roman" w:eastAsia="Times New Roman" w:hAnsi="Times New Roman" w:cs="Times New Roman"/>
                <w:sz w:val="24"/>
                <w:szCs w:val="24"/>
                <w:lang w:eastAsia="bg-BG"/>
              </w:rPr>
            </w:pPr>
          </w:p>
        </w:tc>
      </w:tr>
      <w:tr w:rsidR="00C102BF" w:rsidRPr="005D78C4" w14:paraId="426367AA" w14:textId="77777777" w:rsidTr="00C33ABA">
        <w:trPr>
          <w:gridBefore w:val="1"/>
          <w:gridAfter w:val="2"/>
          <w:wBefore w:w="70" w:type="dxa"/>
          <w:wAfter w:w="497" w:type="dxa"/>
          <w:trHeight w:val="1308"/>
        </w:trPr>
        <w:tc>
          <w:tcPr>
            <w:tcW w:w="950" w:type="dxa"/>
            <w:tcBorders>
              <w:top w:val="single" w:sz="4" w:space="0" w:color="auto"/>
              <w:left w:val="single" w:sz="4" w:space="0" w:color="auto"/>
              <w:bottom w:val="single" w:sz="4" w:space="0" w:color="auto"/>
              <w:right w:val="single" w:sz="4" w:space="0" w:color="auto"/>
            </w:tcBorders>
            <w:shd w:val="clear" w:color="E6E6E6" w:fill="D9D9D9"/>
            <w:vAlign w:val="center"/>
            <w:hideMark/>
          </w:tcPr>
          <w:p w14:paraId="17ACB2D2" w14:textId="77777777" w:rsidR="008D2740" w:rsidRPr="005D78C4" w:rsidRDefault="008D2740" w:rsidP="00DB66D9">
            <w:pPr>
              <w:spacing w:after="40" w:line="264" w:lineRule="auto"/>
              <w:jc w:val="center"/>
              <w:rPr>
                <w:rFonts w:ascii="Times New Roman" w:eastAsia="Times New Roman" w:hAnsi="Times New Roman" w:cs="Times New Roman"/>
                <w:b/>
                <w:bCs/>
                <w:sz w:val="18"/>
                <w:szCs w:val="18"/>
                <w:lang w:eastAsia="bg-BG"/>
              </w:rPr>
            </w:pPr>
            <w:r w:rsidRPr="005D78C4">
              <w:rPr>
                <w:rFonts w:ascii="Times New Roman" w:eastAsia="Times New Roman" w:hAnsi="Times New Roman" w:cs="Times New Roman"/>
                <w:b/>
                <w:bCs/>
                <w:sz w:val="18"/>
                <w:szCs w:val="18"/>
                <w:lang w:eastAsia="bg-BG"/>
              </w:rPr>
              <w:br/>
              <w:t>Код</w:t>
            </w:r>
          </w:p>
        </w:tc>
        <w:tc>
          <w:tcPr>
            <w:tcW w:w="3019" w:type="dxa"/>
            <w:tcBorders>
              <w:top w:val="single" w:sz="4" w:space="0" w:color="auto"/>
              <w:left w:val="nil"/>
              <w:bottom w:val="single" w:sz="4" w:space="0" w:color="auto"/>
              <w:right w:val="single" w:sz="4" w:space="0" w:color="auto"/>
            </w:tcBorders>
            <w:shd w:val="clear" w:color="E6E6E6" w:fill="D9D9D9"/>
            <w:vAlign w:val="center"/>
            <w:hideMark/>
          </w:tcPr>
          <w:p w14:paraId="5754EAAB" w14:textId="77777777" w:rsidR="008D2740" w:rsidRPr="005D78C4" w:rsidRDefault="008D2740" w:rsidP="00DB66D9">
            <w:pPr>
              <w:spacing w:after="40" w:line="264" w:lineRule="auto"/>
              <w:jc w:val="center"/>
              <w:rPr>
                <w:rFonts w:ascii="Times New Roman" w:eastAsia="Times New Roman" w:hAnsi="Times New Roman" w:cs="Times New Roman"/>
                <w:b/>
                <w:bCs/>
                <w:sz w:val="18"/>
                <w:szCs w:val="18"/>
                <w:lang w:eastAsia="bg-BG"/>
              </w:rPr>
            </w:pPr>
            <w:r w:rsidRPr="005D78C4">
              <w:rPr>
                <w:rFonts w:ascii="Times New Roman" w:eastAsia="Times New Roman" w:hAnsi="Times New Roman" w:cs="Times New Roman"/>
                <w:b/>
                <w:bCs/>
                <w:sz w:val="18"/>
                <w:szCs w:val="18"/>
                <w:lang w:eastAsia="bg-BG"/>
              </w:rPr>
              <w:t>ФУНКЦИОНАЛНИ ОБЛАСТИ</w:t>
            </w:r>
            <w:r w:rsidRPr="005D78C4">
              <w:rPr>
                <w:rFonts w:ascii="Times New Roman" w:eastAsia="Times New Roman" w:hAnsi="Times New Roman" w:cs="Times New Roman"/>
                <w:b/>
                <w:bCs/>
                <w:sz w:val="18"/>
                <w:szCs w:val="18"/>
                <w:lang w:eastAsia="bg-BG"/>
              </w:rPr>
              <w:br/>
              <w:t xml:space="preserve">И БЮДЖЕТНИ ПРОГРАМИ </w:t>
            </w:r>
          </w:p>
        </w:tc>
        <w:tc>
          <w:tcPr>
            <w:tcW w:w="3261" w:type="dxa"/>
            <w:gridSpan w:val="3"/>
            <w:tcBorders>
              <w:top w:val="single" w:sz="4" w:space="0" w:color="auto"/>
              <w:left w:val="nil"/>
              <w:bottom w:val="single" w:sz="4" w:space="0" w:color="auto"/>
              <w:right w:val="single" w:sz="4" w:space="0" w:color="auto"/>
            </w:tcBorders>
            <w:shd w:val="clear" w:color="E6E6E6" w:fill="D9D9D9"/>
            <w:noWrap/>
            <w:vAlign w:val="center"/>
            <w:hideMark/>
          </w:tcPr>
          <w:p w14:paraId="6FBB8DCA" w14:textId="77777777" w:rsidR="008D2740" w:rsidRPr="005D78C4" w:rsidRDefault="008D2740" w:rsidP="00DB66D9">
            <w:pPr>
              <w:spacing w:after="40" w:line="264" w:lineRule="auto"/>
              <w:jc w:val="center"/>
              <w:rPr>
                <w:rFonts w:ascii="Times New Roman" w:eastAsia="Times New Roman" w:hAnsi="Times New Roman" w:cs="Times New Roman"/>
                <w:b/>
                <w:bCs/>
                <w:sz w:val="18"/>
                <w:szCs w:val="18"/>
                <w:lang w:eastAsia="bg-BG"/>
              </w:rPr>
            </w:pPr>
            <w:r w:rsidRPr="005D78C4">
              <w:rPr>
                <w:rFonts w:ascii="Times New Roman" w:eastAsia="Times New Roman" w:hAnsi="Times New Roman" w:cs="Times New Roman"/>
                <w:b/>
                <w:bCs/>
                <w:sz w:val="18"/>
                <w:szCs w:val="18"/>
                <w:lang w:eastAsia="bg-BG"/>
              </w:rPr>
              <w:t>Консолидирани разходи</w:t>
            </w:r>
          </w:p>
        </w:tc>
        <w:tc>
          <w:tcPr>
            <w:tcW w:w="3118" w:type="dxa"/>
            <w:gridSpan w:val="3"/>
            <w:tcBorders>
              <w:top w:val="single" w:sz="4" w:space="0" w:color="auto"/>
              <w:left w:val="nil"/>
              <w:bottom w:val="single" w:sz="4" w:space="0" w:color="auto"/>
              <w:right w:val="single" w:sz="4" w:space="0" w:color="auto"/>
            </w:tcBorders>
            <w:shd w:val="clear" w:color="E6E6E6" w:fill="D9D9D9"/>
            <w:noWrap/>
            <w:vAlign w:val="center"/>
            <w:hideMark/>
          </w:tcPr>
          <w:p w14:paraId="093B7F43" w14:textId="77777777" w:rsidR="008D2740" w:rsidRPr="005D78C4" w:rsidRDefault="008D2740" w:rsidP="00DB66D9">
            <w:pPr>
              <w:spacing w:after="40" w:line="264" w:lineRule="auto"/>
              <w:jc w:val="center"/>
              <w:rPr>
                <w:rFonts w:ascii="Times New Roman" w:eastAsia="Times New Roman" w:hAnsi="Times New Roman" w:cs="Times New Roman"/>
                <w:b/>
                <w:bCs/>
                <w:sz w:val="18"/>
                <w:szCs w:val="18"/>
                <w:lang w:eastAsia="bg-BG"/>
              </w:rPr>
            </w:pPr>
            <w:r w:rsidRPr="005D78C4">
              <w:rPr>
                <w:rFonts w:ascii="Times New Roman" w:eastAsia="Times New Roman" w:hAnsi="Times New Roman" w:cs="Times New Roman"/>
                <w:b/>
                <w:bCs/>
                <w:sz w:val="18"/>
                <w:szCs w:val="18"/>
                <w:lang w:eastAsia="bg-BG"/>
              </w:rPr>
              <w:t>Ведомствени разходи</w:t>
            </w:r>
          </w:p>
        </w:tc>
        <w:tc>
          <w:tcPr>
            <w:tcW w:w="3119" w:type="dxa"/>
            <w:gridSpan w:val="3"/>
            <w:tcBorders>
              <w:top w:val="single" w:sz="4" w:space="0" w:color="auto"/>
              <w:left w:val="nil"/>
              <w:bottom w:val="single" w:sz="4" w:space="0" w:color="auto"/>
              <w:right w:val="single" w:sz="4" w:space="0" w:color="auto"/>
            </w:tcBorders>
            <w:shd w:val="clear" w:color="E6E6E6" w:fill="D9D9D9"/>
            <w:noWrap/>
            <w:vAlign w:val="center"/>
            <w:hideMark/>
          </w:tcPr>
          <w:p w14:paraId="4A8DF100" w14:textId="77777777" w:rsidR="008D2740" w:rsidRPr="005D78C4" w:rsidRDefault="008D2740" w:rsidP="00DB66D9">
            <w:pPr>
              <w:spacing w:after="40" w:line="264" w:lineRule="auto"/>
              <w:jc w:val="center"/>
              <w:rPr>
                <w:rFonts w:ascii="Times New Roman" w:eastAsia="Times New Roman" w:hAnsi="Times New Roman" w:cs="Times New Roman"/>
                <w:b/>
                <w:bCs/>
                <w:sz w:val="18"/>
                <w:szCs w:val="18"/>
                <w:lang w:eastAsia="bg-BG"/>
              </w:rPr>
            </w:pPr>
            <w:r w:rsidRPr="005D78C4">
              <w:rPr>
                <w:rFonts w:ascii="Times New Roman" w:eastAsia="Times New Roman" w:hAnsi="Times New Roman" w:cs="Times New Roman"/>
                <w:b/>
                <w:bCs/>
                <w:sz w:val="18"/>
                <w:szCs w:val="18"/>
                <w:lang w:eastAsia="bg-BG"/>
              </w:rPr>
              <w:t>Администрирани разходи</w:t>
            </w:r>
          </w:p>
        </w:tc>
      </w:tr>
      <w:tr w:rsidR="00C102BF" w:rsidRPr="005D78C4" w14:paraId="639B0031" w14:textId="77777777" w:rsidTr="00C33ABA">
        <w:trPr>
          <w:gridBefore w:val="1"/>
          <w:gridAfter w:val="2"/>
          <w:wBefore w:w="70" w:type="dxa"/>
          <w:wAfter w:w="497" w:type="dxa"/>
          <w:trHeight w:val="1357"/>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7A8CB65A" w14:textId="77777777" w:rsidR="008D2740" w:rsidRPr="005D78C4" w:rsidRDefault="008D2740" w:rsidP="00DB66D9">
            <w:pPr>
              <w:spacing w:after="40" w:line="264" w:lineRule="auto"/>
              <w:jc w:val="center"/>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 </w:t>
            </w:r>
          </w:p>
        </w:tc>
        <w:tc>
          <w:tcPr>
            <w:tcW w:w="3019" w:type="dxa"/>
            <w:tcBorders>
              <w:top w:val="nil"/>
              <w:left w:val="nil"/>
              <w:bottom w:val="single" w:sz="4" w:space="0" w:color="auto"/>
              <w:right w:val="single" w:sz="4" w:space="0" w:color="auto"/>
            </w:tcBorders>
            <w:shd w:val="clear" w:color="auto" w:fill="auto"/>
            <w:vAlign w:val="bottom"/>
            <w:hideMark/>
          </w:tcPr>
          <w:p w14:paraId="033C937C" w14:textId="77777777" w:rsidR="008D2740" w:rsidRPr="005D78C4" w:rsidRDefault="008D2740" w:rsidP="00DB66D9">
            <w:pPr>
              <w:spacing w:after="40" w:line="264" w:lineRule="auto"/>
              <w:jc w:val="center"/>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на КОМИСИЯ ЗА ЗАЩИТА НА КОНКУРЕНЦИЯТА</w:t>
            </w:r>
            <w:r w:rsidRPr="005D78C4">
              <w:rPr>
                <w:rFonts w:ascii="Times New Roman" w:eastAsia="Times New Roman" w:hAnsi="Times New Roman" w:cs="Times New Roman"/>
                <w:sz w:val="18"/>
                <w:szCs w:val="18"/>
                <w:lang w:eastAsia="bg-BG"/>
              </w:rPr>
              <w:br/>
              <w:t>(в лева)</w:t>
            </w:r>
          </w:p>
          <w:p w14:paraId="45F2A808" w14:textId="77777777" w:rsidR="008D2740" w:rsidRPr="005D78C4" w:rsidRDefault="008D2740" w:rsidP="00DB66D9">
            <w:pPr>
              <w:spacing w:after="40" w:line="264" w:lineRule="auto"/>
              <w:jc w:val="center"/>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0925064A" w14:textId="77777777" w:rsidR="008D2740" w:rsidRPr="005D78C4" w:rsidRDefault="008D2740" w:rsidP="00DB66D9">
            <w:pPr>
              <w:spacing w:after="40" w:line="264" w:lineRule="auto"/>
              <w:jc w:val="center"/>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Общо разходи</w:t>
            </w:r>
          </w:p>
          <w:p w14:paraId="6C6F0505" w14:textId="77777777" w:rsidR="008D2740" w:rsidRPr="005D78C4" w:rsidRDefault="008D2740" w:rsidP="00DB66D9">
            <w:pPr>
              <w:spacing w:after="40" w:line="264" w:lineRule="auto"/>
              <w:jc w:val="center"/>
              <w:rPr>
                <w:rFonts w:ascii="Times New Roman" w:eastAsia="Times New Roman" w:hAnsi="Times New Roman" w:cs="Times New Roman"/>
                <w:sz w:val="18"/>
                <w:szCs w:val="18"/>
                <w:lang w:eastAsia="bg-BG"/>
              </w:rPr>
            </w:pPr>
          </w:p>
          <w:p w14:paraId="7A207D3C" w14:textId="77777777" w:rsidR="008D2740" w:rsidRPr="005D78C4" w:rsidRDefault="008D2740" w:rsidP="00DB66D9">
            <w:pPr>
              <w:spacing w:after="40" w:line="264" w:lineRule="auto"/>
              <w:jc w:val="center"/>
              <w:rPr>
                <w:rFonts w:ascii="Times New Roman" w:eastAsia="Times New Roman" w:hAnsi="Times New Roman" w:cs="Times New Roman"/>
                <w:sz w:val="18"/>
                <w:szCs w:val="18"/>
                <w:lang w:eastAsia="bg-BG"/>
              </w:rPr>
            </w:pPr>
          </w:p>
          <w:p w14:paraId="4B7160B4" w14:textId="77777777" w:rsidR="008D2740" w:rsidRPr="005D78C4" w:rsidRDefault="008D2740" w:rsidP="00DB66D9">
            <w:pPr>
              <w:spacing w:after="40" w:line="264" w:lineRule="auto"/>
              <w:jc w:val="center"/>
              <w:rPr>
                <w:rFonts w:ascii="Times New Roman" w:eastAsia="Times New Roman" w:hAnsi="Times New Roman" w:cs="Times New Roman"/>
                <w:sz w:val="18"/>
                <w:szCs w:val="18"/>
                <w:lang w:eastAsia="bg-BG"/>
              </w:rPr>
            </w:pPr>
          </w:p>
        </w:tc>
        <w:tc>
          <w:tcPr>
            <w:tcW w:w="993" w:type="dxa"/>
            <w:tcBorders>
              <w:top w:val="nil"/>
              <w:left w:val="nil"/>
              <w:bottom w:val="single" w:sz="4" w:space="0" w:color="auto"/>
              <w:right w:val="single" w:sz="4" w:space="0" w:color="auto"/>
            </w:tcBorders>
            <w:shd w:val="clear" w:color="auto" w:fill="auto"/>
            <w:vAlign w:val="bottom"/>
            <w:hideMark/>
          </w:tcPr>
          <w:p w14:paraId="5797C79C" w14:textId="77777777" w:rsidR="008D2740" w:rsidRPr="005D78C4" w:rsidRDefault="008D2740" w:rsidP="00DB66D9">
            <w:pPr>
              <w:spacing w:after="40" w:line="264" w:lineRule="auto"/>
              <w:jc w:val="center"/>
              <w:rPr>
                <w:rFonts w:ascii="Times New Roman" w:eastAsia="Times New Roman" w:hAnsi="Times New Roman" w:cs="Times New Roman"/>
                <w:i/>
                <w:iCs/>
                <w:sz w:val="18"/>
                <w:szCs w:val="18"/>
                <w:lang w:eastAsia="bg-BG"/>
              </w:rPr>
            </w:pPr>
            <w:r w:rsidRPr="005D78C4">
              <w:rPr>
                <w:rFonts w:ascii="Times New Roman" w:eastAsia="Times New Roman" w:hAnsi="Times New Roman" w:cs="Times New Roman"/>
                <w:i/>
                <w:iCs/>
                <w:sz w:val="18"/>
                <w:szCs w:val="18"/>
                <w:lang w:eastAsia="bg-BG"/>
              </w:rPr>
              <w:t>По бюджета на ПРБ</w:t>
            </w:r>
          </w:p>
          <w:p w14:paraId="74D18CED" w14:textId="77777777" w:rsidR="008D2740" w:rsidRPr="005D78C4" w:rsidRDefault="008D2740" w:rsidP="00DB66D9">
            <w:pPr>
              <w:spacing w:after="40" w:line="264" w:lineRule="auto"/>
              <w:jc w:val="center"/>
              <w:rPr>
                <w:rFonts w:ascii="Times New Roman" w:eastAsia="Times New Roman" w:hAnsi="Times New Roman" w:cs="Times New Roman"/>
                <w:i/>
                <w:iCs/>
                <w:sz w:val="18"/>
                <w:szCs w:val="18"/>
                <w:lang w:eastAsia="bg-BG"/>
              </w:rPr>
            </w:pPr>
          </w:p>
          <w:p w14:paraId="26185776" w14:textId="77777777" w:rsidR="008D2740" w:rsidRPr="005D78C4" w:rsidRDefault="008D2740" w:rsidP="00DB66D9">
            <w:pPr>
              <w:spacing w:after="40" w:line="264" w:lineRule="auto"/>
              <w:jc w:val="center"/>
              <w:rPr>
                <w:rFonts w:ascii="Times New Roman" w:eastAsia="Times New Roman" w:hAnsi="Times New Roman" w:cs="Times New Roman"/>
                <w:i/>
                <w:iCs/>
                <w:sz w:val="18"/>
                <w:szCs w:val="18"/>
                <w:lang w:eastAsia="bg-BG"/>
              </w:rPr>
            </w:pPr>
          </w:p>
        </w:tc>
        <w:tc>
          <w:tcPr>
            <w:tcW w:w="1134" w:type="dxa"/>
            <w:tcBorders>
              <w:top w:val="nil"/>
              <w:left w:val="nil"/>
              <w:bottom w:val="single" w:sz="4" w:space="0" w:color="auto"/>
              <w:right w:val="single" w:sz="4" w:space="0" w:color="auto"/>
            </w:tcBorders>
            <w:shd w:val="clear" w:color="auto" w:fill="auto"/>
            <w:vAlign w:val="bottom"/>
            <w:hideMark/>
          </w:tcPr>
          <w:p w14:paraId="0EE00AFC" w14:textId="77777777" w:rsidR="008D2740" w:rsidRPr="005D78C4" w:rsidRDefault="008D2740" w:rsidP="00DB66D9">
            <w:pPr>
              <w:spacing w:after="40" w:line="264" w:lineRule="auto"/>
              <w:jc w:val="center"/>
              <w:rPr>
                <w:rFonts w:ascii="Times New Roman" w:eastAsia="Times New Roman" w:hAnsi="Times New Roman" w:cs="Times New Roman"/>
                <w:i/>
                <w:iCs/>
                <w:sz w:val="18"/>
                <w:szCs w:val="18"/>
                <w:lang w:eastAsia="bg-BG"/>
              </w:rPr>
            </w:pPr>
            <w:r w:rsidRPr="005D78C4">
              <w:rPr>
                <w:rFonts w:ascii="Times New Roman" w:eastAsia="Times New Roman" w:hAnsi="Times New Roman" w:cs="Times New Roman"/>
                <w:i/>
                <w:iCs/>
                <w:sz w:val="18"/>
                <w:szCs w:val="18"/>
                <w:lang w:eastAsia="bg-BG"/>
              </w:rPr>
              <w:t>По други бюджети и сметки за средства от ЕС</w:t>
            </w:r>
          </w:p>
        </w:tc>
        <w:tc>
          <w:tcPr>
            <w:tcW w:w="1134" w:type="dxa"/>
            <w:tcBorders>
              <w:top w:val="nil"/>
              <w:left w:val="nil"/>
              <w:bottom w:val="single" w:sz="4" w:space="0" w:color="auto"/>
              <w:right w:val="single" w:sz="4" w:space="0" w:color="auto"/>
            </w:tcBorders>
            <w:shd w:val="clear" w:color="auto" w:fill="auto"/>
            <w:vAlign w:val="bottom"/>
            <w:hideMark/>
          </w:tcPr>
          <w:p w14:paraId="4412131A" w14:textId="77777777" w:rsidR="008D2740" w:rsidRPr="005D78C4" w:rsidRDefault="008D2740" w:rsidP="00DB66D9">
            <w:pPr>
              <w:spacing w:after="40" w:line="264" w:lineRule="auto"/>
              <w:jc w:val="center"/>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Общо ведомствени</w:t>
            </w:r>
          </w:p>
          <w:p w14:paraId="0473B712" w14:textId="77777777" w:rsidR="008D2740" w:rsidRPr="005D78C4" w:rsidRDefault="008D2740" w:rsidP="00DB66D9">
            <w:pPr>
              <w:spacing w:after="40" w:line="264" w:lineRule="auto"/>
              <w:jc w:val="center"/>
              <w:rPr>
                <w:rFonts w:ascii="Times New Roman" w:eastAsia="Times New Roman" w:hAnsi="Times New Roman" w:cs="Times New Roman"/>
                <w:sz w:val="18"/>
                <w:szCs w:val="18"/>
                <w:lang w:eastAsia="bg-BG"/>
              </w:rPr>
            </w:pPr>
          </w:p>
          <w:p w14:paraId="6642F338" w14:textId="77777777" w:rsidR="008D2740" w:rsidRPr="005D78C4" w:rsidRDefault="008D2740" w:rsidP="00DB66D9">
            <w:pPr>
              <w:spacing w:after="40" w:line="264" w:lineRule="auto"/>
              <w:jc w:val="center"/>
              <w:rPr>
                <w:rFonts w:ascii="Times New Roman" w:eastAsia="Times New Roman" w:hAnsi="Times New Roman" w:cs="Times New Roman"/>
                <w:sz w:val="18"/>
                <w:szCs w:val="18"/>
                <w:lang w:eastAsia="bg-BG"/>
              </w:rPr>
            </w:pPr>
          </w:p>
        </w:tc>
        <w:tc>
          <w:tcPr>
            <w:tcW w:w="992" w:type="dxa"/>
            <w:tcBorders>
              <w:top w:val="nil"/>
              <w:left w:val="nil"/>
              <w:bottom w:val="single" w:sz="4" w:space="0" w:color="auto"/>
              <w:right w:val="single" w:sz="4" w:space="0" w:color="auto"/>
            </w:tcBorders>
            <w:shd w:val="clear" w:color="auto" w:fill="auto"/>
            <w:vAlign w:val="bottom"/>
            <w:hideMark/>
          </w:tcPr>
          <w:p w14:paraId="3179A8B3" w14:textId="77777777" w:rsidR="008D2740" w:rsidRPr="005D78C4" w:rsidRDefault="008D2740" w:rsidP="00DB66D9">
            <w:pPr>
              <w:spacing w:after="40" w:line="264" w:lineRule="auto"/>
              <w:jc w:val="center"/>
              <w:rPr>
                <w:rFonts w:ascii="Times New Roman" w:eastAsia="Times New Roman" w:hAnsi="Times New Roman" w:cs="Times New Roman"/>
                <w:i/>
                <w:iCs/>
                <w:sz w:val="18"/>
                <w:szCs w:val="18"/>
                <w:lang w:eastAsia="bg-BG"/>
              </w:rPr>
            </w:pPr>
            <w:r w:rsidRPr="005D78C4">
              <w:rPr>
                <w:rFonts w:ascii="Times New Roman" w:eastAsia="Times New Roman" w:hAnsi="Times New Roman" w:cs="Times New Roman"/>
                <w:i/>
                <w:iCs/>
                <w:sz w:val="18"/>
                <w:szCs w:val="18"/>
                <w:lang w:eastAsia="bg-BG"/>
              </w:rPr>
              <w:t>По бюджета на ПРБ</w:t>
            </w:r>
          </w:p>
          <w:p w14:paraId="2349B073" w14:textId="77777777" w:rsidR="008D2740" w:rsidRPr="005D78C4" w:rsidRDefault="008D2740" w:rsidP="00DB66D9">
            <w:pPr>
              <w:spacing w:after="40" w:line="264" w:lineRule="auto"/>
              <w:jc w:val="center"/>
              <w:rPr>
                <w:rFonts w:ascii="Times New Roman" w:eastAsia="Times New Roman" w:hAnsi="Times New Roman" w:cs="Times New Roman"/>
                <w:i/>
                <w:iCs/>
                <w:sz w:val="18"/>
                <w:szCs w:val="18"/>
                <w:lang w:eastAsia="bg-BG"/>
              </w:rPr>
            </w:pPr>
          </w:p>
          <w:p w14:paraId="5D02E1F3" w14:textId="77777777" w:rsidR="008D2740" w:rsidRPr="005D78C4" w:rsidRDefault="008D2740" w:rsidP="00DB66D9">
            <w:pPr>
              <w:spacing w:after="40" w:line="264" w:lineRule="auto"/>
              <w:jc w:val="center"/>
              <w:rPr>
                <w:rFonts w:ascii="Times New Roman" w:eastAsia="Times New Roman" w:hAnsi="Times New Roman" w:cs="Times New Roman"/>
                <w:i/>
                <w:iCs/>
                <w:sz w:val="18"/>
                <w:szCs w:val="18"/>
                <w:lang w:eastAsia="bg-BG"/>
              </w:rPr>
            </w:pPr>
          </w:p>
        </w:tc>
        <w:tc>
          <w:tcPr>
            <w:tcW w:w="992" w:type="dxa"/>
            <w:tcBorders>
              <w:top w:val="nil"/>
              <w:left w:val="nil"/>
              <w:bottom w:val="single" w:sz="4" w:space="0" w:color="auto"/>
              <w:right w:val="single" w:sz="4" w:space="0" w:color="auto"/>
            </w:tcBorders>
            <w:shd w:val="clear" w:color="auto" w:fill="auto"/>
            <w:vAlign w:val="bottom"/>
            <w:hideMark/>
          </w:tcPr>
          <w:p w14:paraId="52A30DA1" w14:textId="77777777" w:rsidR="008D2740" w:rsidRPr="005D78C4" w:rsidRDefault="008D2740" w:rsidP="00DB66D9">
            <w:pPr>
              <w:spacing w:after="40" w:line="264" w:lineRule="auto"/>
              <w:jc w:val="center"/>
              <w:rPr>
                <w:rFonts w:ascii="Times New Roman" w:eastAsia="Times New Roman" w:hAnsi="Times New Roman" w:cs="Times New Roman"/>
                <w:i/>
                <w:iCs/>
                <w:sz w:val="18"/>
                <w:szCs w:val="18"/>
                <w:lang w:eastAsia="bg-BG"/>
              </w:rPr>
            </w:pPr>
            <w:r w:rsidRPr="005D78C4">
              <w:rPr>
                <w:rFonts w:ascii="Times New Roman" w:eastAsia="Times New Roman" w:hAnsi="Times New Roman" w:cs="Times New Roman"/>
                <w:i/>
                <w:iCs/>
                <w:sz w:val="18"/>
                <w:szCs w:val="18"/>
                <w:lang w:eastAsia="bg-BG"/>
              </w:rPr>
              <w:t>По други бюджети и сметки за средства от ЕС</w:t>
            </w:r>
          </w:p>
        </w:tc>
        <w:tc>
          <w:tcPr>
            <w:tcW w:w="1134" w:type="dxa"/>
            <w:tcBorders>
              <w:top w:val="nil"/>
              <w:left w:val="nil"/>
              <w:bottom w:val="single" w:sz="4" w:space="0" w:color="auto"/>
              <w:right w:val="single" w:sz="4" w:space="0" w:color="auto"/>
            </w:tcBorders>
            <w:shd w:val="clear" w:color="auto" w:fill="auto"/>
            <w:vAlign w:val="bottom"/>
            <w:hideMark/>
          </w:tcPr>
          <w:p w14:paraId="544EB7F9" w14:textId="77777777" w:rsidR="008D2740" w:rsidRPr="005D78C4" w:rsidRDefault="008D2740" w:rsidP="00DB66D9">
            <w:pPr>
              <w:spacing w:after="40" w:line="264" w:lineRule="auto"/>
              <w:jc w:val="center"/>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Общо администрирани</w:t>
            </w:r>
          </w:p>
          <w:p w14:paraId="6AF4A72B" w14:textId="77777777" w:rsidR="008D2740" w:rsidRPr="005D78C4" w:rsidRDefault="008D2740" w:rsidP="00DB66D9">
            <w:pPr>
              <w:spacing w:after="40" w:line="264" w:lineRule="auto"/>
              <w:jc w:val="center"/>
              <w:rPr>
                <w:rFonts w:ascii="Times New Roman" w:eastAsia="Times New Roman" w:hAnsi="Times New Roman" w:cs="Times New Roman"/>
                <w:sz w:val="18"/>
                <w:szCs w:val="18"/>
                <w:lang w:eastAsia="bg-BG"/>
              </w:rPr>
            </w:pPr>
          </w:p>
          <w:p w14:paraId="46BE030C" w14:textId="77777777" w:rsidR="008D2740" w:rsidRPr="005D78C4" w:rsidRDefault="008D2740" w:rsidP="00DB66D9">
            <w:pPr>
              <w:spacing w:after="40" w:line="264" w:lineRule="auto"/>
              <w:jc w:val="center"/>
              <w:rPr>
                <w:rFonts w:ascii="Times New Roman" w:eastAsia="Times New Roman" w:hAnsi="Times New Roman" w:cs="Times New Roman"/>
                <w:sz w:val="18"/>
                <w:szCs w:val="18"/>
                <w:lang w:eastAsia="bg-BG"/>
              </w:rPr>
            </w:pPr>
          </w:p>
        </w:tc>
        <w:tc>
          <w:tcPr>
            <w:tcW w:w="992" w:type="dxa"/>
            <w:tcBorders>
              <w:top w:val="nil"/>
              <w:left w:val="nil"/>
              <w:bottom w:val="single" w:sz="4" w:space="0" w:color="auto"/>
              <w:right w:val="single" w:sz="4" w:space="0" w:color="auto"/>
            </w:tcBorders>
            <w:shd w:val="clear" w:color="auto" w:fill="auto"/>
            <w:vAlign w:val="bottom"/>
            <w:hideMark/>
          </w:tcPr>
          <w:p w14:paraId="0287C8E4" w14:textId="77777777" w:rsidR="008D2740" w:rsidRPr="005D78C4" w:rsidRDefault="008D2740" w:rsidP="00DB66D9">
            <w:pPr>
              <w:spacing w:after="40" w:line="264" w:lineRule="auto"/>
              <w:jc w:val="center"/>
              <w:rPr>
                <w:rFonts w:ascii="Times New Roman" w:eastAsia="Times New Roman" w:hAnsi="Times New Roman" w:cs="Times New Roman"/>
                <w:i/>
                <w:iCs/>
                <w:sz w:val="18"/>
                <w:szCs w:val="18"/>
                <w:lang w:eastAsia="bg-BG"/>
              </w:rPr>
            </w:pPr>
            <w:r w:rsidRPr="005D78C4">
              <w:rPr>
                <w:rFonts w:ascii="Times New Roman" w:eastAsia="Times New Roman" w:hAnsi="Times New Roman" w:cs="Times New Roman"/>
                <w:i/>
                <w:iCs/>
                <w:sz w:val="18"/>
                <w:szCs w:val="18"/>
                <w:lang w:eastAsia="bg-BG"/>
              </w:rPr>
              <w:t>По бюджета на ПРБ</w:t>
            </w:r>
          </w:p>
          <w:p w14:paraId="2E328B07" w14:textId="77777777" w:rsidR="008D2740" w:rsidRPr="005D78C4" w:rsidRDefault="008D2740" w:rsidP="00DB66D9">
            <w:pPr>
              <w:spacing w:after="40" w:line="264" w:lineRule="auto"/>
              <w:jc w:val="center"/>
              <w:rPr>
                <w:rFonts w:ascii="Times New Roman" w:eastAsia="Times New Roman" w:hAnsi="Times New Roman" w:cs="Times New Roman"/>
                <w:i/>
                <w:iCs/>
                <w:sz w:val="18"/>
                <w:szCs w:val="18"/>
                <w:lang w:eastAsia="bg-BG"/>
              </w:rPr>
            </w:pPr>
          </w:p>
          <w:p w14:paraId="640C47DC" w14:textId="77777777" w:rsidR="008D2740" w:rsidRPr="005D78C4" w:rsidRDefault="008D2740" w:rsidP="00DB66D9">
            <w:pPr>
              <w:spacing w:after="40" w:line="264" w:lineRule="auto"/>
              <w:jc w:val="center"/>
              <w:rPr>
                <w:rFonts w:ascii="Times New Roman" w:eastAsia="Times New Roman" w:hAnsi="Times New Roman" w:cs="Times New Roman"/>
                <w:i/>
                <w:iCs/>
                <w:sz w:val="18"/>
                <w:szCs w:val="18"/>
                <w:lang w:eastAsia="bg-BG"/>
              </w:rPr>
            </w:pPr>
          </w:p>
        </w:tc>
        <w:tc>
          <w:tcPr>
            <w:tcW w:w="993" w:type="dxa"/>
            <w:tcBorders>
              <w:top w:val="nil"/>
              <w:left w:val="nil"/>
              <w:bottom w:val="single" w:sz="4" w:space="0" w:color="auto"/>
              <w:right w:val="single" w:sz="4" w:space="0" w:color="auto"/>
            </w:tcBorders>
            <w:shd w:val="clear" w:color="auto" w:fill="auto"/>
            <w:vAlign w:val="bottom"/>
            <w:hideMark/>
          </w:tcPr>
          <w:p w14:paraId="462DBC3B" w14:textId="77777777" w:rsidR="008D2740" w:rsidRPr="005D78C4" w:rsidRDefault="008D2740" w:rsidP="00DB66D9">
            <w:pPr>
              <w:spacing w:after="40" w:line="264" w:lineRule="auto"/>
              <w:jc w:val="center"/>
              <w:rPr>
                <w:rFonts w:ascii="Times New Roman" w:eastAsia="Times New Roman" w:hAnsi="Times New Roman" w:cs="Times New Roman"/>
                <w:i/>
                <w:iCs/>
                <w:sz w:val="18"/>
                <w:szCs w:val="18"/>
                <w:lang w:eastAsia="bg-BG"/>
              </w:rPr>
            </w:pPr>
            <w:r w:rsidRPr="005D78C4">
              <w:rPr>
                <w:rFonts w:ascii="Times New Roman" w:eastAsia="Times New Roman" w:hAnsi="Times New Roman" w:cs="Times New Roman"/>
                <w:i/>
                <w:iCs/>
                <w:sz w:val="18"/>
                <w:szCs w:val="18"/>
                <w:lang w:eastAsia="bg-BG"/>
              </w:rPr>
              <w:t>По други бюджети и сметки за средства от ЕС</w:t>
            </w:r>
          </w:p>
        </w:tc>
      </w:tr>
      <w:tr w:rsidR="00C102BF" w:rsidRPr="005D78C4" w14:paraId="6011EEEC" w14:textId="77777777" w:rsidTr="00C33ABA">
        <w:trPr>
          <w:gridBefore w:val="1"/>
          <w:gridAfter w:val="2"/>
          <w:wBefore w:w="70" w:type="dxa"/>
          <w:wAfter w:w="497" w:type="dxa"/>
          <w:trHeight w:val="301"/>
        </w:trPr>
        <w:tc>
          <w:tcPr>
            <w:tcW w:w="950" w:type="dxa"/>
            <w:tcBorders>
              <w:top w:val="nil"/>
              <w:left w:val="single" w:sz="4" w:space="0" w:color="auto"/>
              <w:bottom w:val="single" w:sz="4" w:space="0" w:color="auto"/>
              <w:right w:val="single" w:sz="4" w:space="0" w:color="auto"/>
            </w:tcBorders>
            <w:shd w:val="clear" w:color="D9D9D9" w:fill="E6E6E6"/>
            <w:noWrap/>
            <w:vAlign w:val="bottom"/>
            <w:hideMark/>
          </w:tcPr>
          <w:p w14:paraId="4C63530F" w14:textId="77777777" w:rsidR="00AB01B1" w:rsidRPr="005D78C4" w:rsidRDefault="00AB01B1" w:rsidP="00DB66D9">
            <w:pPr>
              <w:spacing w:after="40" w:line="264" w:lineRule="auto"/>
              <w:jc w:val="center"/>
              <w:rPr>
                <w:rFonts w:ascii="Times New Roman" w:eastAsia="Times New Roman" w:hAnsi="Times New Roman" w:cs="Times New Roman"/>
                <w:b/>
                <w:bCs/>
                <w:sz w:val="18"/>
                <w:szCs w:val="18"/>
                <w:lang w:eastAsia="bg-BG"/>
              </w:rPr>
            </w:pPr>
            <w:r w:rsidRPr="005D78C4">
              <w:rPr>
                <w:rFonts w:ascii="Times New Roman" w:eastAsia="Times New Roman" w:hAnsi="Times New Roman" w:cs="Times New Roman"/>
                <w:b/>
                <w:bCs/>
                <w:sz w:val="18"/>
                <w:szCs w:val="18"/>
                <w:lang w:eastAsia="bg-BG"/>
              </w:rPr>
              <w:t>4200.00.00</w:t>
            </w:r>
          </w:p>
        </w:tc>
        <w:tc>
          <w:tcPr>
            <w:tcW w:w="3019" w:type="dxa"/>
            <w:tcBorders>
              <w:top w:val="nil"/>
              <w:left w:val="nil"/>
              <w:bottom w:val="single" w:sz="4" w:space="0" w:color="auto"/>
              <w:right w:val="single" w:sz="4" w:space="0" w:color="auto"/>
            </w:tcBorders>
            <w:shd w:val="clear" w:color="D9D9D9" w:fill="BFBFBF"/>
            <w:noWrap/>
            <w:vAlign w:val="bottom"/>
            <w:hideMark/>
          </w:tcPr>
          <w:p w14:paraId="19763893" w14:textId="77777777" w:rsidR="00AB01B1" w:rsidRPr="005D78C4" w:rsidRDefault="00AB01B1" w:rsidP="00DB66D9">
            <w:pPr>
              <w:spacing w:after="40" w:line="264" w:lineRule="auto"/>
              <w:jc w:val="both"/>
              <w:rPr>
                <w:rFonts w:ascii="Times New Roman" w:eastAsia="Times New Roman" w:hAnsi="Times New Roman" w:cs="Times New Roman"/>
                <w:b/>
                <w:bCs/>
                <w:sz w:val="18"/>
                <w:szCs w:val="18"/>
                <w:lang w:eastAsia="bg-BG"/>
              </w:rPr>
            </w:pPr>
            <w:r w:rsidRPr="005D78C4">
              <w:rPr>
                <w:rFonts w:ascii="Times New Roman" w:eastAsia="Times New Roman" w:hAnsi="Times New Roman" w:cs="Times New Roman"/>
                <w:b/>
                <w:bCs/>
                <w:sz w:val="18"/>
                <w:szCs w:val="18"/>
                <w:lang w:eastAsia="bg-BG"/>
              </w:rPr>
              <w:t>Общо разходи</w:t>
            </w:r>
          </w:p>
        </w:tc>
        <w:tc>
          <w:tcPr>
            <w:tcW w:w="1134" w:type="dxa"/>
            <w:tcBorders>
              <w:top w:val="nil"/>
              <w:left w:val="nil"/>
              <w:bottom w:val="single" w:sz="4" w:space="0" w:color="auto"/>
              <w:right w:val="single" w:sz="4" w:space="0" w:color="auto"/>
            </w:tcBorders>
            <w:shd w:val="clear" w:color="D9D9D9" w:fill="BFBFBF"/>
            <w:noWrap/>
            <w:vAlign w:val="bottom"/>
            <w:hideMark/>
          </w:tcPr>
          <w:p w14:paraId="676515E0" w14:textId="5F5CEC1A" w:rsidR="00AB01B1" w:rsidRPr="005D78C4" w:rsidRDefault="00AB01B1"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3 </w:t>
            </w:r>
            <w:r w:rsidR="000E2FAD" w:rsidRPr="005D78C4">
              <w:rPr>
                <w:rFonts w:ascii="Times New Roman" w:eastAsia="Times New Roman" w:hAnsi="Times New Roman" w:cs="Times New Roman"/>
                <w:sz w:val="18"/>
                <w:szCs w:val="18"/>
                <w:lang w:eastAsia="bg-BG"/>
              </w:rPr>
              <w:t>331</w:t>
            </w:r>
            <w:r w:rsidRPr="005D78C4">
              <w:rPr>
                <w:rFonts w:ascii="Times New Roman" w:eastAsia="Times New Roman" w:hAnsi="Times New Roman" w:cs="Times New Roman"/>
                <w:sz w:val="18"/>
                <w:szCs w:val="18"/>
                <w:lang w:eastAsia="bg-BG"/>
              </w:rPr>
              <w:t> </w:t>
            </w:r>
            <w:r w:rsidR="000E2FAD" w:rsidRPr="005D78C4">
              <w:rPr>
                <w:rFonts w:ascii="Times New Roman" w:eastAsia="Times New Roman" w:hAnsi="Times New Roman" w:cs="Times New Roman"/>
                <w:sz w:val="18"/>
                <w:szCs w:val="18"/>
                <w:lang w:eastAsia="bg-BG"/>
              </w:rPr>
              <w:t>624</w:t>
            </w:r>
          </w:p>
        </w:tc>
        <w:tc>
          <w:tcPr>
            <w:tcW w:w="993" w:type="dxa"/>
            <w:tcBorders>
              <w:top w:val="nil"/>
              <w:left w:val="nil"/>
              <w:bottom w:val="single" w:sz="4" w:space="0" w:color="auto"/>
              <w:right w:val="single" w:sz="4" w:space="0" w:color="auto"/>
            </w:tcBorders>
            <w:shd w:val="clear" w:color="D9D9D9" w:fill="BFBFBF"/>
            <w:noWrap/>
            <w:vAlign w:val="bottom"/>
            <w:hideMark/>
          </w:tcPr>
          <w:p w14:paraId="2C050E3D" w14:textId="3819C19D" w:rsidR="00AB01B1" w:rsidRPr="005D78C4" w:rsidRDefault="000E2FAD"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3 331 624</w:t>
            </w:r>
          </w:p>
        </w:tc>
        <w:tc>
          <w:tcPr>
            <w:tcW w:w="1134" w:type="dxa"/>
            <w:tcBorders>
              <w:top w:val="nil"/>
              <w:left w:val="nil"/>
              <w:bottom w:val="single" w:sz="4" w:space="0" w:color="auto"/>
              <w:right w:val="single" w:sz="4" w:space="0" w:color="auto"/>
            </w:tcBorders>
            <w:shd w:val="clear" w:color="D9D9D9" w:fill="BFBFBF"/>
            <w:noWrap/>
            <w:vAlign w:val="bottom"/>
            <w:hideMark/>
          </w:tcPr>
          <w:p w14:paraId="59000829" w14:textId="6DA96892" w:rsidR="00AB01B1" w:rsidRPr="005D78C4" w:rsidRDefault="00AB01B1"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0 </w:t>
            </w:r>
          </w:p>
        </w:tc>
        <w:tc>
          <w:tcPr>
            <w:tcW w:w="1134" w:type="dxa"/>
            <w:tcBorders>
              <w:top w:val="nil"/>
              <w:left w:val="nil"/>
              <w:bottom w:val="single" w:sz="4" w:space="0" w:color="auto"/>
              <w:right w:val="single" w:sz="4" w:space="0" w:color="auto"/>
            </w:tcBorders>
            <w:shd w:val="clear" w:color="D9D9D9" w:fill="BFBFBF"/>
            <w:noWrap/>
            <w:vAlign w:val="bottom"/>
            <w:hideMark/>
          </w:tcPr>
          <w:p w14:paraId="7145EA1A" w14:textId="376CD552" w:rsidR="00AB01B1" w:rsidRPr="005D78C4" w:rsidRDefault="000E2FAD"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3 331 624</w:t>
            </w:r>
          </w:p>
        </w:tc>
        <w:tc>
          <w:tcPr>
            <w:tcW w:w="992" w:type="dxa"/>
            <w:tcBorders>
              <w:top w:val="nil"/>
              <w:left w:val="nil"/>
              <w:bottom w:val="single" w:sz="4" w:space="0" w:color="auto"/>
              <w:right w:val="single" w:sz="4" w:space="0" w:color="auto"/>
            </w:tcBorders>
            <w:shd w:val="clear" w:color="D9D9D9" w:fill="BFBFBF"/>
            <w:noWrap/>
            <w:vAlign w:val="bottom"/>
            <w:hideMark/>
          </w:tcPr>
          <w:p w14:paraId="2232E627" w14:textId="623D5BA7" w:rsidR="00AB01B1" w:rsidRPr="005D78C4" w:rsidRDefault="000E2FAD" w:rsidP="00DB66D9">
            <w:pPr>
              <w:spacing w:after="40" w:line="264" w:lineRule="auto"/>
              <w:jc w:val="right"/>
              <w:rPr>
                <w:rFonts w:ascii="Times New Roman" w:eastAsia="Times New Roman" w:hAnsi="Times New Roman" w:cs="Times New Roman"/>
                <w:sz w:val="18"/>
                <w:szCs w:val="18"/>
                <w:lang w:val="en-US" w:eastAsia="bg-BG"/>
              </w:rPr>
            </w:pPr>
            <w:r w:rsidRPr="005D78C4">
              <w:rPr>
                <w:rFonts w:ascii="Times New Roman" w:eastAsia="Times New Roman" w:hAnsi="Times New Roman" w:cs="Times New Roman"/>
                <w:sz w:val="18"/>
                <w:szCs w:val="18"/>
                <w:lang w:eastAsia="bg-BG"/>
              </w:rPr>
              <w:t>3 331 624</w:t>
            </w:r>
          </w:p>
        </w:tc>
        <w:tc>
          <w:tcPr>
            <w:tcW w:w="992" w:type="dxa"/>
            <w:tcBorders>
              <w:top w:val="nil"/>
              <w:left w:val="nil"/>
              <w:bottom w:val="single" w:sz="4" w:space="0" w:color="auto"/>
              <w:right w:val="single" w:sz="4" w:space="0" w:color="auto"/>
            </w:tcBorders>
            <w:shd w:val="clear" w:color="D9D9D9" w:fill="BFBFBF"/>
            <w:noWrap/>
            <w:vAlign w:val="bottom"/>
            <w:hideMark/>
          </w:tcPr>
          <w:p w14:paraId="15B41FA4" w14:textId="7653E75A" w:rsidR="00AB01B1" w:rsidRPr="005D78C4" w:rsidRDefault="00AB01B1"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0 </w:t>
            </w:r>
          </w:p>
        </w:tc>
        <w:tc>
          <w:tcPr>
            <w:tcW w:w="1134" w:type="dxa"/>
            <w:tcBorders>
              <w:top w:val="nil"/>
              <w:left w:val="nil"/>
              <w:bottom w:val="single" w:sz="4" w:space="0" w:color="auto"/>
              <w:right w:val="single" w:sz="4" w:space="0" w:color="auto"/>
            </w:tcBorders>
            <w:shd w:val="clear" w:color="D9D9D9" w:fill="BFBFBF"/>
            <w:noWrap/>
            <w:vAlign w:val="bottom"/>
            <w:hideMark/>
          </w:tcPr>
          <w:p w14:paraId="3A2E9645" w14:textId="77777777" w:rsidR="00AB01B1" w:rsidRPr="005D78C4" w:rsidRDefault="00AB01B1"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val="en-US" w:eastAsia="bg-BG"/>
              </w:rPr>
              <w:t>0</w:t>
            </w:r>
            <w:r w:rsidRPr="005D78C4">
              <w:rPr>
                <w:rFonts w:ascii="Times New Roman" w:eastAsia="Times New Roman" w:hAnsi="Times New Roman" w:cs="Times New Roman"/>
                <w:sz w:val="18"/>
                <w:szCs w:val="18"/>
                <w:lang w:eastAsia="bg-BG"/>
              </w:rPr>
              <w:t> </w:t>
            </w:r>
          </w:p>
        </w:tc>
        <w:tc>
          <w:tcPr>
            <w:tcW w:w="992" w:type="dxa"/>
            <w:tcBorders>
              <w:top w:val="nil"/>
              <w:left w:val="nil"/>
              <w:bottom w:val="single" w:sz="4" w:space="0" w:color="auto"/>
              <w:right w:val="single" w:sz="4" w:space="0" w:color="auto"/>
            </w:tcBorders>
            <w:shd w:val="clear" w:color="D9D9D9" w:fill="BFBFBF"/>
            <w:noWrap/>
            <w:vAlign w:val="bottom"/>
            <w:hideMark/>
          </w:tcPr>
          <w:p w14:paraId="284797AE" w14:textId="77777777" w:rsidR="00AB01B1" w:rsidRPr="005D78C4" w:rsidRDefault="00AB01B1"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val="en-US" w:eastAsia="bg-BG"/>
              </w:rPr>
              <w:t>0</w:t>
            </w:r>
            <w:r w:rsidRPr="005D78C4">
              <w:rPr>
                <w:rFonts w:ascii="Times New Roman" w:eastAsia="Times New Roman" w:hAnsi="Times New Roman" w:cs="Times New Roman"/>
                <w:sz w:val="18"/>
                <w:szCs w:val="18"/>
                <w:lang w:eastAsia="bg-BG"/>
              </w:rPr>
              <w:t> </w:t>
            </w:r>
          </w:p>
        </w:tc>
        <w:tc>
          <w:tcPr>
            <w:tcW w:w="993" w:type="dxa"/>
            <w:tcBorders>
              <w:top w:val="nil"/>
              <w:left w:val="nil"/>
              <w:bottom w:val="single" w:sz="4" w:space="0" w:color="auto"/>
              <w:right w:val="single" w:sz="4" w:space="0" w:color="auto"/>
            </w:tcBorders>
            <w:shd w:val="clear" w:color="D9D9D9" w:fill="BFBFBF"/>
            <w:noWrap/>
            <w:vAlign w:val="bottom"/>
            <w:hideMark/>
          </w:tcPr>
          <w:p w14:paraId="5D92B40B" w14:textId="77777777" w:rsidR="00AB01B1" w:rsidRPr="005D78C4" w:rsidRDefault="00AB01B1"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val="en-US" w:eastAsia="bg-BG"/>
              </w:rPr>
              <w:t>0</w:t>
            </w:r>
            <w:r w:rsidRPr="005D78C4">
              <w:rPr>
                <w:rFonts w:ascii="Times New Roman" w:eastAsia="Times New Roman" w:hAnsi="Times New Roman" w:cs="Times New Roman"/>
                <w:sz w:val="18"/>
                <w:szCs w:val="18"/>
                <w:lang w:eastAsia="bg-BG"/>
              </w:rPr>
              <w:t> </w:t>
            </w:r>
          </w:p>
        </w:tc>
      </w:tr>
      <w:tr w:rsidR="00C102BF" w:rsidRPr="005D78C4" w14:paraId="46199954" w14:textId="77777777" w:rsidTr="00C33ABA">
        <w:trPr>
          <w:gridBefore w:val="1"/>
          <w:gridAfter w:val="2"/>
          <w:wBefore w:w="70" w:type="dxa"/>
          <w:wAfter w:w="497" w:type="dxa"/>
          <w:trHeight w:val="960"/>
        </w:trPr>
        <w:tc>
          <w:tcPr>
            <w:tcW w:w="950" w:type="dxa"/>
            <w:tcBorders>
              <w:top w:val="nil"/>
              <w:left w:val="single" w:sz="4" w:space="0" w:color="auto"/>
              <w:bottom w:val="single" w:sz="4" w:space="0" w:color="auto"/>
              <w:right w:val="single" w:sz="4" w:space="0" w:color="auto"/>
            </w:tcBorders>
            <w:shd w:val="clear" w:color="D9D9D9" w:fill="E6E6E6"/>
            <w:noWrap/>
            <w:vAlign w:val="bottom"/>
            <w:hideMark/>
          </w:tcPr>
          <w:p w14:paraId="2B07C747" w14:textId="77777777" w:rsidR="00AB01B1" w:rsidRPr="005D78C4" w:rsidRDefault="00AB01B1" w:rsidP="00DB66D9">
            <w:pPr>
              <w:spacing w:after="40" w:line="264" w:lineRule="auto"/>
              <w:jc w:val="center"/>
              <w:rPr>
                <w:rFonts w:ascii="Times New Roman" w:eastAsia="Times New Roman" w:hAnsi="Times New Roman" w:cs="Times New Roman"/>
                <w:b/>
                <w:bCs/>
                <w:sz w:val="18"/>
                <w:szCs w:val="18"/>
                <w:lang w:eastAsia="bg-BG"/>
              </w:rPr>
            </w:pPr>
            <w:r w:rsidRPr="005D78C4">
              <w:rPr>
                <w:rFonts w:ascii="Times New Roman" w:eastAsia="Times New Roman" w:hAnsi="Times New Roman" w:cs="Times New Roman"/>
                <w:b/>
                <w:bCs/>
                <w:sz w:val="18"/>
                <w:szCs w:val="18"/>
                <w:lang w:eastAsia="bg-BG"/>
              </w:rPr>
              <w:t>4200.01.00</w:t>
            </w:r>
          </w:p>
        </w:tc>
        <w:tc>
          <w:tcPr>
            <w:tcW w:w="3019" w:type="dxa"/>
            <w:tcBorders>
              <w:top w:val="nil"/>
              <w:left w:val="nil"/>
              <w:bottom w:val="single" w:sz="4" w:space="0" w:color="auto"/>
              <w:right w:val="single" w:sz="4" w:space="0" w:color="auto"/>
            </w:tcBorders>
            <w:shd w:val="clear" w:color="D9D9D9" w:fill="E6E6E6"/>
            <w:vAlign w:val="bottom"/>
            <w:hideMark/>
          </w:tcPr>
          <w:p w14:paraId="6474A5B7" w14:textId="77777777" w:rsidR="00AB01B1" w:rsidRPr="005D78C4" w:rsidRDefault="00AB01B1" w:rsidP="00DB66D9">
            <w:pPr>
              <w:spacing w:after="40" w:line="264" w:lineRule="auto"/>
              <w:rPr>
                <w:rFonts w:ascii="Times New Roman" w:eastAsia="Times New Roman" w:hAnsi="Times New Roman" w:cs="Times New Roman"/>
                <w:b/>
                <w:bCs/>
                <w:sz w:val="18"/>
                <w:szCs w:val="18"/>
                <w:lang w:eastAsia="bg-BG"/>
              </w:rPr>
            </w:pPr>
            <w:r w:rsidRPr="005D78C4">
              <w:rPr>
                <w:rFonts w:ascii="Times New Roman" w:eastAsia="Times New Roman" w:hAnsi="Times New Roman" w:cs="Times New Roman"/>
                <w:b/>
                <w:bCs/>
                <w:sz w:val="18"/>
                <w:szCs w:val="18"/>
                <w:lang w:eastAsia="bg-BG"/>
              </w:rPr>
              <w:t>Функционална област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1134" w:type="dxa"/>
            <w:tcBorders>
              <w:top w:val="nil"/>
              <w:left w:val="nil"/>
              <w:bottom w:val="single" w:sz="4" w:space="0" w:color="auto"/>
              <w:right w:val="single" w:sz="4" w:space="0" w:color="auto"/>
            </w:tcBorders>
            <w:shd w:val="clear" w:color="E6E6E6" w:fill="D9D9D9"/>
            <w:noWrap/>
            <w:vAlign w:val="bottom"/>
            <w:hideMark/>
          </w:tcPr>
          <w:p w14:paraId="6A063CC9" w14:textId="0D708392" w:rsidR="00AB01B1" w:rsidRPr="005D78C4" w:rsidRDefault="00AB01B1"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3 </w:t>
            </w:r>
            <w:r w:rsidR="000E2FAD" w:rsidRPr="005D78C4">
              <w:rPr>
                <w:rFonts w:ascii="Times New Roman" w:eastAsia="Times New Roman" w:hAnsi="Times New Roman" w:cs="Times New Roman"/>
                <w:sz w:val="18"/>
                <w:szCs w:val="18"/>
                <w:lang w:eastAsia="bg-BG"/>
              </w:rPr>
              <w:t>331</w:t>
            </w:r>
            <w:r w:rsidRPr="005D78C4">
              <w:rPr>
                <w:rFonts w:ascii="Times New Roman" w:eastAsia="Times New Roman" w:hAnsi="Times New Roman" w:cs="Times New Roman"/>
                <w:sz w:val="18"/>
                <w:szCs w:val="18"/>
                <w:lang w:eastAsia="bg-BG"/>
              </w:rPr>
              <w:t> </w:t>
            </w:r>
            <w:r w:rsidR="000E2FAD" w:rsidRPr="005D78C4">
              <w:rPr>
                <w:rFonts w:ascii="Times New Roman" w:eastAsia="Times New Roman" w:hAnsi="Times New Roman" w:cs="Times New Roman"/>
                <w:sz w:val="18"/>
                <w:szCs w:val="18"/>
                <w:lang w:eastAsia="bg-BG"/>
              </w:rPr>
              <w:t>624</w:t>
            </w:r>
          </w:p>
        </w:tc>
        <w:tc>
          <w:tcPr>
            <w:tcW w:w="993" w:type="dxa"/>
            <w:tcBorders>
              <w:top w:val="nil"/>
              <w:left w:val="nil"/>
              <w:bottom w:val="single" w:sz="4" w:space="0" w:color="auto"/>
              <w:right w:val="single" w:sz="4" w:space="0" w:color="auto"/>
            </w:tcBorders>
            <w:shd w:val="clear" w:color="E6E6E6" w:fill="D9D9D9"/>
            <w:noWrap/>
            <w:vAlign w:val="bottom"/>
            <w:hideMark/>
          </w:tcPr>
          <w:p w14:paraId="0C56ED06" w14:textId="7389145A" w:rsidR="00AB01B1" w:rsidRPr="005D78C4" w:rsidRDefault="000E2FAD"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3 331 624</w:t>
            </w:r>
            <w:r w:rsidR="00AB01B1" w:rsidRPr="005D78C4">
              <w:rPr>
                <w:rFonts w:ascii="Times New Roman" w:eastAsia="Times New Roman" w:hAnsi="Times New Roman" w:cs="Times New Roman"/>
                <w:sz w:val="18"/>
                <w:szCs w:val="18"/>
                <w:lang w:eastAsia="bg-BG"/>
              </w:rPr>
              <w:t>8</w:t>
            </w:r>
          </w:p>
        </w:tc>
        <w:tc>
          <w:tcPr>
            <w:tcW w:w="1134" w:type="dxa"/>
            <w:tcBorders>
              <w:top w:val="nil"/>
              <w:left w:val="nil"/>
              <w:bottom w:val="single" w:sz="4" w:space="0" w:color="auto"/>
              <w:right w:val="single" w:sz="4" w:space="0" w:color="auto"/>
            </w:tcBorders>
            <w:shd w:val="clear" w:color="E6E6E6" w:fill="D9D9D9"/>
            <w:noWrap/>
            <w:vAlign w:val="bottom"/>
            <w:hideMark/>
          </w:tcPr>
          <w:p w14:paraId="7DCFB846" w14:textId="00ADD120" w:rsidR="00AB01B1" w:rsidRPr="005D78C4" w:rsidRDefault="00AB01B1"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0 </w:t>
            </w:r>
          </w:p>
        </w:tc>
        <w:tc>
          <w:tcPr>
            <w:tcW w:w="1134" w:type="dxa"/>
            <w:tcBorders>
              <w:top w:val="nil"/>
              <w:left w:val="nil"/>
              <w:bottom w:val="single" w:sz="4" w:space="0" w:color="auto"/>
              <w:right w:val="single" w:sz="4" w:space="0" w:color="auto"/>
            </w:tcBorders>
            <w:shd w:val="clear" w:color="E6E6E6" w:fill="D9D9D9"/>
            <w:noWrap/>
            <w:vAlign w:val="bottom"/>
            <w:hideMark/>
          </w:tcPr>
          <w:p w14:paraId="24DD3F01" w14:textId="511D2EB7" w:rsidR="00AB01B1" w:rsidRPr="005D78C4" w:rsidRDefault="000E2FAD"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3 331 624</w:t>
            </w:r>
          </w:p>
        </w:tc>
        <w:tc>
          <w:tcPr>
            <w:tcW w:w="992" w:type="dxa"/>
            <w:tcBorders>
              <w:top w:val="nil"/>
              <w:left w:val="nil"/>
              <w:bottom w:val="single" w:sz="4" w:space="0" w:color="auto"/>
              <w:right w:val="single" w:sz="4" w:space="0" w:color="auto"/>
            </w:tcBorders>
            <w:shd w:val="clear" w:color="E6E6E6" w:fill="D9D9D9"/>
            <w:noWrap/>
            <w:vAlign w:val="bottom"/>
            <w:hideMark/>
          </w:tcPr>
          <w:p w14:paraId="56C6E0A7" w14:textId="4F733505" w:rsidR="00AB01B1" w:rsidRPr="005D78C4" w:rsidRDefault="000E2FAD" w:rsidP="00DB66D9">
            <w:pPr>
              <w:spacing w:after="40" w:line="264" w:lineRule="auto"/>
              <w:jc w:val="right"/>
              <w:rPr>
                <w:rFonts w:ascii="Times New Roman" w:eastAsia="Times New Roman" w:hAnsi="Times New Roman" w:cs="Times New Roman"/>
                <w:sz w:val="18"/>
                <w:szCs w:val="18"/>
                <w:lang w:val="en-US" w:eastAsia="bg-BG"/>
              </w:rPr>
            </w:pPr>
            <w:r w:rsidRPr="005D78C4">
              <w:rPr>
                <w:rFonts w:ascii="Times New Roman" w:eastAsia="Times New Roman" w:hAnsi="Times New Roman" w:cs="Times New Roman"/>
                <w:sz w:val="18"/>
                <w:szCs w:val="18"/>
                <w:lang w:eastAsia="bg-BG"/>
              </w:rPr>
              <w:t>3 331 624</w:t>
            </w:r>
          </w:p>
        </w:tc>
        <w:tc>
          <w:tcPr>
            <w:tcW w:w="992" w:type="dxa"/>
            <w:tcBorders>
              <w:top w:val="nil"/>
              <w:left w:val="nil"/>
              <w:bottom w:val="single" w:sz="4" w:space="0" w:color="auto"/>
              <w:right w:val="single" w:sz="4" w:space="0" w:color="auto"/>
            </w:tcBorders>
            <w:shd w:val="clear" w:color="E6E6E6" w:fill="D9D9D9"/>
            <w:noWrap/>
            <w:vAlign w:val="bottom"/>
            <w:hideMark/>
          </w:tcPr>
          <w:p w14:paraId="26A557F6" w14:textId="28251AAF" w:rsidR="00AB01B1" w:rsidRPr="005D78C4" w:rsidRDefault="00AB01B1"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0 </w:t>
            </w:r>
          </w:p>
        </w:tc>
        <w:tc>
          <w:tcPr>
            <w:tcW w:w="1134" w:type="dxa"/>
            <w:tcBorders>
              <w:top w:val="nil"/>
              <w:left w:val="nil"/>
              <w:bottom w:val="single" w:sz="4" w:space="0" w:color="auto"/>
              <w:right w:val="single" w:sz="4" w:space="0" w:color="auto"/>
            </w:tcBorders>
            <w:shd w:val="clear" w:color="E6E6E6" w:fill="D9D9D9"/>
            <w:noWrap/>
            <w:vAlign w:val="bottom"/>
            <w:hideMark/>
          </w:tcPr>
          <w:p w14:paraId="302C446C" w14:textId="77777777" w:rsidR="00AB01B1" w:rsidRPr="005D78C4" w:rsidRDefault="00AB01B1"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val="en-US" w:eastAsia="bg-BG"/>
              </w:rPr>
              <w:t>0</w:t>
            </w:r>
            <w:r w:rsidRPr="005D78C4">
              <w:rPr>
                <w:rFonts w:ascii="Times New Roman" w:eastAsia="Times New Roman" w:hAnsi="Times New Roman" w:cs="Times New Roman"/>
                <w:sz w:val="18"/>
                <w:szCs w:val="18"/>
                <w:lang w:eastAsia="bg-BG"/>
              </w:rPr>
              <w:t> </w:t>
            </w:r>
          </w:p>
        </w:tc>
        <w:tc>
          <w:tcPr>
            <w:tcW w:w="992" w:type="dxa"/>
            <w:tcBorders>
              <w:top w:val="nil"/>
              <w:left w:val="nil"/>
              <w:bottom w:val="single" w:sz="4" w:space="0" w:color="auto"/>
              <w:right w:val="single" w:sz="4" w:space="0" w:color="auto"/>
            </w:tcBorders>
            <w:shd w:val="clear" w:color="E6E6E6" w:fill="D9D9D9"/>
            <w:noWrap/>
            <w:vAlign w:val="bottom"/>
            <w:hideMark/>
          </w:tcPr>
          <w:p w14:paraId="2D49A4B9" w14:textId="77777777" w:rsidR="00AB01B1" w:rsidRPr="005D78C4" w:rsidRDefault="00AB01B1"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val="en-US" w:eastAsia="bg-BG"/>
              </w:rPr>
              <w:t>0</w:t>
            </w:r>
            <w:r w:rsidRPr="005D78C4">
              <w:rPr>
                <w:rFonts w:ascii="Times New Roman" w:eastAsia="Times New Roman" w:hAnsi="Times New Roman" w:cs="Times New Roman"/>
                <w:sz w:val="18"/>
                <w:szCs w:val="18"/>
                <w:lang w:eastAsia="bg-BG"/>
              </w:rPr>
              <w:t> </w:t>
            </w:r>
          </w:p>
        </w:tc>
        <w:tc>
          <w:tcPr>
            <w:tcW w:w="993" w:type="dxa"/>
            <w:tcBorders>
              <w:top w:val="nil"/>
              <w:left w:val="nil"/>
              <w:bottom w:val="single" w:sz="4" w:space="0" w:color="auto"/>
              <w:right w:val="single" w:sz="4" w:space="0" w:color="auto"/>
            </w:tcBorders>
            <w:shd w:val="clear" w:color="E6E6E6" w:fill="D9D9D9"/>
            <w:noWrap/>
            <w:vAlign w:val="bottom"/>
            <w:hideMark/>
          </w:tcPr>
          <w:p w14:paraId="7D411D9A" w14:textId="77777777" w:rsidR="00AB01B1" w:rsidRPr="005D78C4" w:rsidRDefault="00AB01B1"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val="en-US" w:eastAsia="bg-BG"/>
              </w:rPr>
              <w:t>0</w:t>
            </w:r>
            <w:r w:rsidRPr="005D78C4">
              <w:rPr>
                <w:rFonts w:ascii="Times New Roman" w:eastAsia="Times New Roman" w:hAnsi="Times New Roman" w:cs="Times New Roman"/>
                <w:sz w:val="18"/>
                <w:szCs w:val="18"/>
                <w:lang w:eastAsia="bg-BG"/>
              </w:rPr>
              <w:t> </w:t>
            </w:r>
          </w:p>
        </w:tc>
      </w:tr>
      <w:tr w:rsidR="00C102BF" w:rsidRPr="005D78C4" w14:paraId="0E21456A" w14:textId="77777777" w:rsidTr="00C33ABA">
        <w:trPr>
          <w:gridBefore w:val="1"/>
          <w:gridAfter w:val="2"/>
          <w:wBefore w:w="70" w:type="dxa"/>
          <w:wAfter w:w="497" w:type="dxa"/>
          <w:trHeight w:val="127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5F1BF312" w14:textId="77777777" w:rsidR="00AB01B1" w:rsidRPr="005D78C4" w:rsidRDefault="00AB01B1" w:rsidP="00DB66D9">
            <w:pPr>
              <w:spacing w:after="40" w:line="264" w:lineRule="auto"/>
              <w:jc w:val="center"/>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4200.01.01</w:t>
            </w:r>
          </w:p>
        </w:tc>
        <w:tc>
          <w:tcPr>
            <w:tcW w:w="3019" w:type="dxa"/>
            <w:tcBorders>
              <w:top w:val="nil"/>
              <w:left w:val="nil"/>
              <w:bottom w:val="single" w:sz="4" w:space="0" w:color="auto"/>
              <w:right w:val="single" w:sz="4" w:space="0" w:color="auto"/>
            </w:tcBorders>
            <w:shd w:val="clear" w:color="auto" w:fill="auto"/>
            <w:vAlign w:val="bottom"/>
            <w:hideMark/>
          </w:tcPr>
          <w:p w14:paraId="4E48E549" w14:textId="77777777" w:rsidR="00AB01B1" w:rsidRPr="005D78C4" w:rsidRDefault="00AB01B1" w:rsidP="00DB66D9">
            <w:pPr>
              <w:spacing w:after="40" w:line="264" w:lineRule="auto"/>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Бюджетна програма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1134" w:type="dxa"/>
            <w:tcBorders>
              <w:top w:val="nil"/>
              <w:left w:val="nil"/>
              <w:bottom w:val="single" w:sz="4" w:space="0" w:color="auto"/>
              <w:right w:val="single" w:sz="4" w:space="0" w:color="auto"/>
            </w:tcBorders>
            <w:shd w:val="clear" w:color="auto" w:fill="auto"/>
            <w:noWrap/>
            <w:vAlign w:val="bottom"/>
            <w:hideMark/>
          </w:tcPr>
          <w:p w14:paraId="5D910300" w14:textId="3A31FA7C" w:rsidR="00AB01B1" w:rsidRPr="005D78C4" w:rsidRDefault="00AB01B1"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3 </w:t>
            </w:r>
            <w:r w:rsidR="000E2FAD" w:rsidRPr="005D78C4">
              <w:rPr>
                <w:rFonts w:ascii="Times New Roman" w:eastAsia="Times New Roman" w:hAnsi="Times New Roman" w:cs="Times New Roman"/>
                <w:sz w:val="18"/>
                <w:szCs w:val="18"/>
                <w:lang w:eastAsia="bg-BG"/>
              </w:rPr>
              <w:t>331</w:t>
            </w:r>
            <w:r w:rsidRPr="005D78C4">
              <w:rPr>
                <w:rFonts w:ascii="Times New Roman" w:eastAsia="Times New Roman" w:hAnsi="Times New Roman" w:cs="Times New Roman"/>
                <w:sz w:val="18"/>
                <w:szCs w:val="18"/>
                <w:lang w:eastAsia="bg-BG"/>
              </w:rPr>
              <w:t> </w:t>
            </w:r>
            <w:r w:rsidR="000E2FAD" w:rsidRPr="005D78C4">
              <w:rPr>
                <w:rFonts w:ascii="Times New Roman" w:eastAsia="Times New Roman" w:hAnsi="Times New Roman" w:cs="Times New Roman"/>
                <w:sz w:val="18"/>
                <w:szCs w:val="18"/>
                <w:lang w:eastAsia="bg-BG"/>
              </w:rPr>
              <w:t>624</w:t>
            </w:r>
          </w:p>
        </w:tc>
        <w:tc>
          <w:tcPr>
            <w:tcW w:w="993" w:type="dxa"/>
            <w:tcBorders>
              <w:top w:val="nil"/>
              <w:left w:val="nil"/>
              <w:bottom w:val="single" w:sz="4" w:space="0" w:color="auto"/>
              <w:right w:val="single" w:sz="4" w:space="0" w:color="auto"/>
            </w:tcBorders>
            <w:shd w:val="clear" w:color="auto" w:fill="auto"/>
            <w:noWrap/>
            <w:vAlign w:val="bottom"/>
            <w:hideMark/>
          </w:tcPr>
          <w:p w14:paraId="1F2CFCE8" w14:textId="3FCF387D" w:rsidR="00AB01B1" w:rsidRPr="005D78C4" w:rsidRDefault="000E2FAD"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3 331 624</w:t>
            </w:r>
          </w:p>
        </w:tc>
        <w:tc>
          <w:tcPr>
            <w:tcW w:w="1134" w:type="dxa"/>
            <w:tcBorders>
              <w:top w:val="nil"/>
              <w:left w:val="nil"/>
              <w:bottom w:val="single" w:sz="4" w:space="0" w:color="auto"/>
              <w:right w:val="single" w:sz="4" w:space="0" w:color="auto"/>
            </w:tcBorders>
            <w:shd w:val="clear" w:color="auto" w:fill="auto"/>
            <w:noWrap/>
            <w:vAlign w:val="bottom"/>
            <w:hideMark/>
          </w:tcPr>
          <w:p w14:paraId="1BEF04F5" w14:textId="6DF3816F" w:rsidR="00AB01B1" w:rsidRPr="005D78C4" w:rsidRDefault="00AB01B1"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0  </w:t>
            </w:r>
          </w:p>
        </w:tc>
        <w:tc>
          <w:tcPr>
            <w:tcW w:w="1134" w:type="dxa"/>
            <w:tcBorders>
              <w:top w:val="nil"/>
              <w:left w:val="nil"/>
              <w:bottom w:val="single" w:sz="4" w:space="0" w:color="auto"/>
              <w:right w:val="single" w:sz="4" w:space="0" w:color="auto"/>
            </w:tcBorders>
            <w:shd w:val="clear" w:color="auto" w:fill="auto"/>
            <w:noWrap/>
            <w:vAlign w:val="bottom"/>
            <w:hideMark/>
          </w:tcPr>
          <w:p w14:paraId="3B9DF914" w14:textId="27DE1B49" w:rsidR="00AB01B1" w:rsidRPr="005D78C4" w:rsidRDefault="000E2FAD"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3 331 624</w:t>
            </w:r>
          </w:p>
        </w:tc>
        <w:tc>
          <w:tcPr>
            <w:tcW w:w="992" w:type="dxa"/>
            <w:tcBorders>
              <w:top w:val="nil"/>
              <w:left w:val="nil"/>
              <w:bottom w:val="single" w:sz="4" w:space="0" w:color="auto"/>
              <w:right w:val="single" w:sz="4" w:space="0" w:color="auto"/>
            </w:tcBorders>
            <w:shd w:val="clear" w:color="auto" w:fill="auto"/>
            <w:noWrap/>
            <w:vAlign w:val="bottom"/>
            <w:hideMark/>
          </w:tcPr>
          <w:p w14:paraId="36695872" w14:textId="765C813B" w:rsidR="00AB01B1" w:rsidRPr="005D78C4" w:rsidRDefault="000E2FAD" w:rsidP="00DB66D9">
            <w:pPr>
              <w:spacing w:after="40" w:line="264" w:lineRule="auto"/>
              <w:jc w:val="right"/>
              <w:rPr>
                <w:rFonts w:ascii="Times New Roman" w:eastAsia="Times New Roman" w:hAnsi="Times New Roman" w:cs="Times New Roman"/>
                <w:sz w:val="18"/>
                <w:szCs w:val="18"/>
                <w:lang w:val="en-US" w:eastAsia="bg-BG"/>
              </w:rPr>
            </w:pPr>
            <w:r w:rsidRPr="005D78C4">
              <w:rPr>
                <w:rFonts w:ascii="Times New Roman" w:eastAsia="Times New Roman" w:hAnsi="Times New Roman" w:cs="Times New Roman"/>
                <w:sz w:val="18"/>
                <w:szCs w:val="18"/>
                <w:lang w:eastAsia="bg-BG"/>
              </w:rPr>
              <w:t>3 331 624</w:t>
            </w:r>
          </w:p>
        </w:tc>
        <w:tc>
          <w:tcPr>
            <w:tcW w:w="992" w:type="dxa"/>
            <w:tcBorders>
              <w:top w:val="nil"/>
              <w:left w:val="nil"/>
              <w:bottom w:val="single" w:sz="4" w:space="0" w:color="auto"/>
              <w:right w:val="single" w:sz="4" w:space="0" w:color="auto"/>
            </w:tcBorders>
            <w:shd w:val="clear" w:color="auto" w:fill="auto"/>
            <w:noWrap/>
            <w:vAlign w:val="bottom"/>
            <w:hideMark/>
          </w:tcPr>
          <w:p w14:paraId="0272E1A3" w14:textId="29825A31" w:rsidR="00AB01B1" w:rsidRPr="005D78C4" w:rsidRDefault="00AB01B1"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eastAsia="bg-BG"/>
              </w:rPr>
              <w:t>0  </w:t>
            </w:r>
          </w:p>
        </w:tc>
        <w:tc>
          <w:tcPr>
            <w:tcW w:w="1134" w:type="dxa"/>
            <w:tcBorders>
              <w:top w:val="nil"/>
              <w:left w:val="nil"/>
              <w:bottom w:val="single" w:sz="4" w:space="0" w:color="auto"/>
              <w:right w:val="single" w:sz="4" w:space="0" w:color="auto"/>
            </w:tcBorders>
            <w:shd w:val="clear" w:color="auto" w:fill="auto"/>
            <w:noWrap/>
            <w:vAlign w:val="bottom"/>
            <w:hideMark/>
          </w:tcPr>
          <w:p w14:paraId="0C46E3FD" w14:textId="77777777" w:rsidR="00AB01B1" w:rsidRPr="005D78C4" w:rsidRDefault="00AB01B1"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val="en-US" w:eastAsia="bg-BG"/>
              </w:rPr>
              <w:t>0</w:t>
            </w:r>
            <w:r w:rsidRPr="005D78C4">
              <w:rPr>
                <w:rFonts w:ascii="Times New Roman" w:eastAsia="Times New Roman" w:hAnsi="Times New Roman" w:cs="Times New Roman"/>
                <w:sz w:val="18"/>
                <w:szCs w:val="18"/>
                <w:lang w:eastAsia="bg-BG"/>
              </w:rPr>
              <w:t> </w:t>
            </w:r>
          </w:p>
        </w:tc>
        <w:tc>
          <w:tcPr>
            <w:tcW w:w="992" w:type="dxa"/>
            <w:tcBorders>
              <w:top w:val="nil"/>
              <w:left w:val="nil"/>
              <w:bottom w:val="single" w:sz="4" w:space="0" w:color="auto"/>
              <w:right w:val="single" w:sz="4" w:space="0" w:color="auto"/>
            </w:tcBorders>
            <w:shd w:val="clear" w:color="auto" w:fill="auto"/>
            <w:noWrap/>
            <w:vAlign w:val="bottom"/>
            <w:hideMark/>
          </w:tcPr>
          <w:p w14:paraId="16A5161D" w14:textId="77777777" w:rsidR="00AB01B1" w:rsidRPr="005D78C4" w:rsidRDefault="00AB01B1"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val="en-US" w:eastAsia="bg-BG"/>
              </w:rPr>
              <w:t>0</w:t>
            </w:r>
            <w:r w:rsidRPr="005D78C4">
              <w:rPr>
                <w:rFonts w:ascii="Times New Roman" w:eastAsia="Times New Roman" w:hAnsi="Times New Roman" w:cs="Times New Roman"/>
                <w:sz w:val="18"/>
                <w:szCs w:val="18"/>
                <w:lang w:eastAsia="bg-BG"/>
              </w:rPr>
              <w:t> </w:t>
            </w:r>
          </w:p>
        </w:tc>
        <w:tc>
          <w:tcPr>
            <w:tcW w:w="993" w:type="dxa"/>
            <w:tcBorders>
              <w:top w:val="nil"/>
              <w:left w:val="nil"/>
              <w:bottom w:val="single" w:sz="4" w:space="0" w:color="auto"/>
              <w:right w:val="single" w:sz="4" w:space="0" w:color="auto"/>
            </w:tcBorders>
            <w:shd w:val="clear" w:color="auto" w:fill="auto"/>
            <w:noWrap/>
            <w:vAlign w:val="bottom"/>
            <w:hideMark/>
          </w:tcPr>
          <w:p w14:paraId="564E1FA8" w14:textId="77777777" w:rsidR="00AB01B1" w:rsidRPr="005D78C4" w:rsidRDefault="00AB01B1" w:rsidP="00DB66D9">
            <w:pPr>
              <w:spacing w:after="40" w:line="264" w:lineRule="auto"/>
              <w:jc w:val="right"/>
              <w:rPr>
                <w:rFonts w:ascii="Times New Roman" w:eastAsia="Times New Roman" w:hAnsi="Times New Roman" w:cs="Times New Roman"/>
                <w:sz w:val="18"/>
                <w:szCs w:val="18"/>
                <w:lang w:eastAsia="bg-BG"/>
              </w:rPr>
            </w:pPr>
            <w:r w:rsidRPr="005D78C4">
              <w:rPr>
                <w:rFonts w:ascii="Times New Roman" w:eastAsia="Times New Roman" w:hAnsi="Times New Roman" w:cs="Times New Roman"/>
                <w:sz w:val="18"/>
                <w:szCs w:val="18"/>
                <w:lang w:val="en-US" w:eastAsia="bg-BG"/>
              </w:rPr>
              <w:t>0</w:t>
            </w:r>
            <w:r w:rsidRPr="005D78C4">
              <w:rPr>
                <w:rFonts w:ascii="Times New Roman" w:eastAsia="Times New Roman" w:hAnsi="Times New Roman" w:cs="Times New Roman"/>
                <w:sz w:val="18"/>
                <w:szCs w:val="18"/>
                <w:lang w:eastAsia="bg-BG"/>
              </w:rPr>
              <w:t> </w:t>
            </w:r>
          </w:p>
        </w:tc>
      </w:tr>
      <w:tr w:rsidR="00C102BF" w:rsidRPr="005D78C4" w14:paraId="58832388" w14:textId="77777777" w:rsidTr="00C33ABA">
        <w:trPr>
          <w:gridBefore w:val="1"/>
          <w:gridAfter w:val="2"/>
          <w:wBefore w:w="70" w:type="dxa"/>
          <w:wAfter w:w="497" w:type="dxa"/>
          <w:trHeight w:val="375"/>
        </w:trPr>
        <w:tc>
          <w:tcPr>
            <w:tcW w:w="13467" w:type="dxa"/>
            <w:gridSpan w:val="11"/>
            <w:tcBorders>
              <w:top w:val="nil"/>
              <w:left w:val="nil"/>
              <w:bottom w:val="nil"/>
              <w:right w:val="nil"/>
            </w:tcBorders>
            <w:shd w:val="clear" w:color="auto" w:fill="auto"/>
            <w:noWrap/>
            <w:vAlign w:val="center"/>
          </w:tcPr>
          <w:p w14:paraId="2D70B958" w14:textId="77777777" w:rsidR="008D2740" w:rsidRPr="005D78C4" w:rsidRDefault="008D2740" w:rsidP="00DB66D9">
            <w:pPr>
              <w:spacing w:after="40" w:line="264" w:lineRule="auto"/>
              <w:rPr>
                <w:rFonts w:ascii="Times New Roman" w:eastAsia="Times New Roman" w:hAnsi="Times New Roman" w:cs="Times New Roman"/>
                <w:sz w:val="24"/>
                <w:szCs w:val="24"/>
                <w:lang w:eastAsia="bg-BG"/>
              </w:rPr>
            </w:pPr>
          </w:p>
        </w:tc>
      </w:tr>
      <w:tr w:rsidR="005E7447" w:rsidRPr="005D78C4" w14:paraId="3F248199" w14:textId="77777777" w:rsidTr="00C33ABA">
        <w:trPr>
          <w:gridAfter w:val="1"/>
          <w:wAfter w:w="72" w:type="dxa"/>
          <w:trHeight w:val="375"/>
        </w:trPr>
        <w:tc>
          <w:tcPr>
            <w:tcW w:w="13962" w:type="dxa"/>
            <w:gridSpan w:val="13"/>
            <w:tcBorders>
              <w:top w:val="nil"/>
              <w:left w:val="nil"/>
              <w:bottom w:val="nil"/>
              <w:right w:val="nil"/>
            </w:tcBorders>
            <w:shd w:val="clear" w:color="auto" w:fill="auto"/>
            <w:noWrap/>
            <w:vAlign w:val="center"/>
          </w:tcPr>
          <w:p w14:paraId="363234E8" w14:textId="77777777" w:rsidR="00756023" w:rsidRPr="005D78C4" w:rsidRDefault="00756023" w:rsidP="00DB66D9">
            <w:pPr>
              <w:spacing w:after="40" w:line="264" w:lineRule="auto"/>
              <w:rPr>
                <w:rFonts w:ascii="Times New Roman" w:eastAsia="Times New Roman" w:hAnsi="Times New Roman" w:cs="Times New Roman"/>
                <w:sz w:val="24"/>
                <w:szCs w:val="24"/>
                <w:lang w:eastAsia="bg-BG"/>
              </w:rPr>
            </w:pPr>
          </w:p>
        </w:tc>
      </w:tr>
      <w:tr w:rsidR="00C102BF" w:rsidRPr="005D78C4" w14:paraId="4A295EBF" w14:textId="77777777" w:rsidTr="00C33ABA">
        <w:trPr>
          <w:trHeight w:val="375"/>
        </w:trPr>
        <w:tc>
          <w:tcPr>
            <w:tcW w:w="14034" w:type="dxa"/>
            <w:gridSpan w:val="14"/>
            <w:tcBorders>
              <w:top w:val="nil"/>
              <w:left w:val="nil"/>
              <w:bottom w:val="nil"/>
              <w:right w:val="nil"/>
            </w:tcBorders>
            <w:shd w:val="clear" w:color="auto" w:fill="auto"/>
            <w:noWrap/>
            <w:vAlign w:val="center"/>
          </w:tcPr>
          <w:p w14:paraId="6B201DF0" w14:textId="77777777" w:rsidR="00891043" w:rsidRPr="005D78C4" w:rsidRDefault="00891043" w:rsidP="00DB66D9">
            <w:pPr>
              <w:spacing w:after="40" w:line="264" w:lineRule="auto"/>
              <w:rPr>
                <w:rFonts w:ascii="Times New Roman" w:eastAsia="Times New Roman" w:hAnsi="Times New Roman" w:cs="Times New Roman"/>
                <w:sz w:val="24"/>
                <w:szCs w:val="24"/>
                <w:highlight w:val="yellow"/>
                <w:lang w:eastAsia="bg-BG"/>
              </w:rPr>
            </w:pPr>
          </w:p>
        </w:tc>
      </w:tr>
    </w:tbl>
    <w:p w14:paraId="3024A838" w14:textId="77777777" w:rsidR="002D6B8A" w:rsidRPr="005D78C4" w:rsidRDefault="002D6B8A" w:rsidP="00DB66D9">
      <w:pPr>
        <w:spacing w:after="40" w:line="264" w:lineRule="auto"/>
        <w:rPr>
          <w:rFonts w:ascii="Times New Roman" w:hAnsi="Times New Roman" w:cs="Times New Roman"/>
          <w:b/>
          <w:bCs/>
          <w:i/>
          <w:sz w:val="24"/>
          <w:szCs w:val="24"/>
          <w:highlight w:val="yellow"/>
          <w:lang w:val="en-US"/>
        </w:rPr>
        <w:sectPr w:rsidR="002D6B8A" w:rsidRPr="005D78C4" w:rsidSect="00B20006">
          <w:pgSz w:w="16838" w:h="11906" w:orient="landscape"/>
          <w:pgMar w:top="1418" w:right="1134" w:bottom="1418" w:left="1418" w:header="709" w:footer="709" w:gutter="0"/>
          <w:cols w:space="708"/>
          <w:docGrid w:linePitch="360"/>
        </w:sectPr>
      </w:pPr>
    </w:p>
    <w:p w14:paraId="2DEB7120" w14:textId="64172503" w:rsidR="008D6D30" w:rsidRPr="005D78C4" w:rsidRDefault="00EC0208" w:rsidP="00DB66D9">
      <w:pPr>
        <w:spacing w:after="40" w:line="264" w:lineRule="auto"/>
        <w:ind w:firstLine="709"/>
        <w:jc w:val="both"/>
        <w:rPr>
          <w:rFonts w:ascii="Times New Roman" w:hAnsi="Times New Roman" w:cs="Times New Roman"/>
          <w:sz w:val="24"/>
          <w:szCs w:val="24"/>
        </w:rPr>
      </w:pPr>
      <w:r w:rsidRPr="005D78C4">
        <w:rPr>
          <w:rFonts w:ascii="Times New Roman" w:eastAsia="MS Mincho" w:hAnsi="Times New Roman" w:cs="Times New Roman"/>
          <w:sz w:val="24"/>
          <w:szCs w:val="24"/>
          <w:lang w:eastAsia="bg-BG"/>
        </w:rPr>
        <w:lastRenderedPageBreak/>
        <w:t>У</w:t>
      </w:r>
      <w:r w:rsidR="00F60576" w:rsidRPr="005D78C4">
        <w:rPr>
          <w:rFonts w:ascii="Times New Roman" w:eastAsia="MS Mincho" w:hAnsi="Times New Roman" w:cs="Times New Roman"/>
          <w:sz w:val="24"/>
          <w:szCs w:val="24"/>
          <w:lang w:eastAsia="bg-BG"/>
        </w:rPr>
        <w:t xml:space="preserve">твърдените със </w:t>
      </w:r>
      <w:r w:rsidR="00F60576" w:rsidRPr="005D78C4">
        <w:rPr>
          <w:rFonts w:ascii="Times New Roman" w:eastAsia="Batang" w:hAnsi="Times New Roman" w:cs="Times New Roman"/>
          <w:sz w:val="24"/>
          <w:szCs w:val="24"/>
          <w:lang w:eastAsia="bg-BG"/>
        </w:rPr>
        <w:t>Закона за държавния бюджет на Република България за 20</w:t>
      </w:r>
      <w:r w:rsidR="00F60576" w:rsidRPr="005D78C4">
        <w:rPr>
          <w:rFonts w:ascii="Times New Roman" w:eastAsia="Batang" w:hAnsi="Times New Roman" w:cs="Times New Roman"/>
          <w:sz w:val="24"/>
          <w:szCs w:val="24"/>
          <w:lang w:val="ru-RU" w:eastAsia="bg-BG"/>
        </w:rPr>
        <w:t>2</w:t>
      </w:r>
      <w:r w:rsidR="004D5B9F" w:rsidRPr="005D78C4">
        <w:rPr>
          <w:rFonts w:ascii="Times New Roman" w:eastAsia="Batang" w:hAnsi="Times New Roman" w:cs="Times New Roman"/>
          <w:sz w:val="24"/>
          <w:szCs w:val="24"/>
          <w:lang w:val="ru-RU" w:eastAsia="bg-BG"/>
        </w:rPr>
        <w:t>5</w:t>
      </w:r>
      <w:r w:rsidR="00F60576" w:rsidRPr="005D78C4">
        <w:rPr>
          <w:rFonts w:ascii="Times New Roman" w:eastAsia="Batang" w:hAnsi="Times New Roman" w:cs="Times New Roman"/>
          <w:sz w:val="24"/>
          <w:szCs w:val="24"/>
          <w:lang w:eastAsia="bg-BG"/>
        </w:rPr>
        <w:t xml:space="preserve"> г. </w:t>
      </w:r>
      <w:r w:rsidR="009D350B" w:rsidRPr="005D78C4">
        <w:rPr>
          <w:rFonts w:ascii="Times New Roman" w:hAnsi="Times New Roman" w:cs="Times New Roman"/>
          <w:sz w:val="24"/>
          <w:szCs w:val="24"/>
        </w:rPr>
        <w:t xml:space="preserve">и с Постановление № </w:t>
      </w:r>
      <w:r w:rsidR="008D6D30" w:rsidRPr="005D78C4">
        <w:rPr>
          <w:rFonts w:ascii="Times New Roman" w:hAnsi="Times New Roman" w:cs="Times New Roman"/>
          <w:sz w:val="24"/>
          <w:szCs w:val="24"/>
        </w:rPr>
        <w:t>28</w:t>
      </w:r>
      <w:r w:rsidR="009D350B" w:rsidRPr="005D78C4">
        <w:rPr>
          <w:rFonts w:ascii="Times New Roman" w:hAnsi="Times New Roman" w:cs="Times New Roman"/>
          <w:sz w:val="24"/>
          <w:szCs w:val="24"/>
        </w:rPr>
        <w:t xml:space="preserve"> на Министерския съвет от </w:t>
      </w:r>
      <w:r w:rsidR="008D6D30" w:rsidRPr="005D78C4">
        <w:rPr>
          <w:rFonts w:ascii="Times New Roman" w:hAnsi="Times New Roman" w:cs="Times New Roman"/>
          <w:sz w:val="24"/>
          <w:szCs w:val="24"/>
        </w:rPr>
        <w:t>16</w:t>
      </w:r>
      <w:r w:rsidR="009D350B" w:rsidRPr="005D78C4">
        <w:rPr>
          <w:rFonts w:ascii="Times New Roman" w:hAnsi="Times New Roman" w:cs="Times New Roman"/>
          <w:sz w:val="24"/>
          <w:szCs w:val="24"/>
        </w:rPr>
        <w:t>.</w:t>
      </w:r>
      <w:r w:rsidR="008D6D30" w:rsidRPr="005D78C4">
        <w:rPr>
          <w:rFonts w:ascii="Times New Roman" w:hAnsi="Times New Roman" w:cs="Times New Roman"/>
          <w:sz w:val="24"/>
          <w:szCs w:val="24"/>
        </w:rPr>
        <w:t>04</w:t>
      </w:r>
      <w:r w:rsidR="009D350B" w:rsidRPr="005D78C4">
        <w:rPr>
          <w:rFonts w:ascii="Times New Roman" w:hAnsi="Times New Roman" w:cs="Times New Roman"/>
          <w:sz w:val="24"/>
          <w:szCs w:val="24"/>
        </w:rPr>
        <w:t>.202</w:t>
      </w:r>
      <w:r w:rsidR="008D6D30" w:rsidRPr="005D78C4">
        <w:rPr>
          <w:rFonts w:ascii="Times New Roman" w:hAnsi="Times New Roman" w:cs="Times New Roman"/>
          <w:sz w:val="24"/>
          <w:szCs w:val="24"/>
        </w:rPr>
        <w:t>5</w:t>
      </w:r>
      <w:r w:rsidR="009D350B" w:rsidRPr="005D78C4">
        <w:rPr>
          <w:rFonts w:ascii="Times New Roman" w:hAnsi="Times New Roman" w:cs="Times New Roman"/>
          <w:sz w:val="24"/>
          <w:szCs w:val="24"/>
        </w:rPr>
        <w:t xml:space="preserve"> г. за изпълнението на държавния бюджет на Република България за 202</w:t>
      </w:r>
      <w:r w:rsidR="008D6D30" w:rsidRPr="005D78C4">
        <w:rPr>
          <w:rFonts w:ascii="Times New Roman" w:hAnsi="Times New Roman" w:cs="Times New Roman"/>
          <w:sz w:val="24"/>
          <w:szCs w:val="24"/>
        </w:rPr>
        <w:t>5</w:t>
      </w:r>
      <w:r w:rsidR="009D350B" w:rsidRPr="005D78C4">
        <w:rPr>
          <w:rFonts w:ascii="Times New Roman" w:hAnsi="Times New Roman" w:cs="Times New Roman"/>
          <w:sz w:val="24"/>
          <w:szCs w:val="24"/>
        </w:rPr>
        <w:t xml:space="preserve"> г. </w:t>
      </w:r>
      <w:r w:rsidR="00F60576" w:rsidRPr="005D78C4">
        <w:rPr>
          <w:rFonts w:ascii="Times New Roman" w:eastAsia="Batang" w:hAnsi="Times New Roman" w:cs="Times New Roman"/>
          <w:sz w:val="24"/>
          <w:szCs w:val="24"/>
          <w:lang w:eastAsia="bg-BG"/>
        </w:rPr>
        <w:t>разходи</w:t>
      </w:r>
      <w:r w:rsidR="008D6D30" w:rsidRPr="005D78C4">
        <w:rPr>
          <w:rFonts w:ascii="Times New Roman" w:eastAsia="Batang" w:hAnsi="Times New Roman" w:cs="Times New Roman"/>
          <w:sz w:val="24"/>
          <w:szCs w:val="24"/>
          <w:lang w:eastAsia="bg-BG"/>
        </w:rPr>
        <w:t xml:space="preserve"> по бюджета на КЗК</w:t>
      </w:r>
      <w:r w:rsidR="001527C0" w:rsidRPr="005D78C4">
        <w:rPr>
          <w:rFonts w:ascii="Times New Roman" w:eastAsia="Batang" w:hAnsi="Times New Roman" w:cs="Times New Roman"/>
          <w:sz w:val="24"/>
          <w:szCs w:val="24"/>
          <w:lang w:val="en-US" w:eastAsia="bg-BG"/>
        </w:rPr>
        <w:t>,</w:t>
      </w:r>
      <w:r w:rsidR="00F60576" w:rsidRPr="005D78C4">
        <w:rPr>
          <w:rFonts w:ascii="Times New Roman" w:eastAsia="Batang" w:hAnsi="Times New Roman" w:cs="Times New Roman"/>
          <w:sz w:val="24"/>
          <w:szCs w:val="24"/>
          <w:lang w:eastAsia="bg-BG"/>
        </w:rPr>
        <w:t xml:space="preserve"> са в размер на  </w:t>
      </w:r>
      <w:r w:rsidR="008D6D30" w:rsidRPr="005D78C4">
        <w:rPr>
          <w:rFonts w:ascii="Times New Roman" w:eastAsia="Batang" w:hAnsi="Times New Roman" w:cs="Times New Roman"/>
          <w:sz w:val="24"/>
          <w:szCs w:val="24"/>
          <w:lang w:eastAsia="bg-BG"/>
        </w:rPr>
        <w:t>7</w:t>
      </w:r>
      <w:r w:rsidR="00F60576" w:rsidRPr="005D78C4">
        <w:rPr>
          <w:rFonts w:ascii="Times New Roman" w:eastAsia="Batang" w:hAnsi="Times New Roman" w:cs="Times New Roman"/>
          <w:sz w:val="24"/>
          <w:szCs w:val="24"/>
          <w:lang w:eastAsia="bg-BG"/>
        </w:rPr>
        <w:t> </w:t>
      </w:r>
      <w:r w:rsidR="008D6D30" w:rsidRPr="005D78C4">
        <w:rPr>
          <w:rFonts w:ascii="Times New Roman" w:eastAsia="Batang" w:hAnsi="Times New Roman" w:cs="Times New Roman"/>
          <w:sz w:val="24"/>
          <w:szCs w:val="24"/>
          <w:lang w:eastAsia="bg-BG"/>
        </w:rPr>
        <w:t>724</w:t>
      </w:r>
      <w:r w:rsidR="00F60576" w:rsidRPr="005D78C4">
        <w:rPr>
          <w:rFonts w:ascii="Times New Roman" w:eastAsia="Batang" w:hAnsi="Times New Roman" w:cs="Times New Roman"/>
          <w:sz w:val="24"/>
          <w:szCs w:val="24"/>
          <w:lang w:eastAsia="bg-BG"/>
        </w:rPr>
        <w:t xml:space="preserve"> </w:t>
      </w:r>
      <w:r w:rsidR="008D6D30" w:rsidRPr="005D78C4">
        <w:rPr>
          <w:rFonts w:ascii="Times New Roman" w:eastAsia="Batang" w:hAnsi="Times New Roman" w:cs="Times New Roman"/>
          <w:sz w:val="24"/>
          <w:szCs w:val="24"/>
          <w:lang w:eastAsia="bg-BG"/>
        </w:rPr>
        <w:t>9</w:t>
      </w:r>
      <w:r w:rsidRPr="005D78C4">
        <w:rPr>
          <w:rFonts w:ascii="Times New Roman" w:eastAsia="Batang" w:hAnsi="Times New Roman" w:cs="Times New Roman"/>
          <w:sz w:val="24"/>
          <w:szCs w:val="24"/>
          <w:lang w:eastAsia="bg-BG"/>
        </w:rPr>
        <w:t>00</w:t>
      </w:r>
      <w:r w:rsidR="00F60576" w:rsidRPr="005D78C4">
        <w:rPr>
          <w:rFonts w:ascii="Times New Roman" w:eastAsia="Batang" w:hAnsi="Times New Roman" w:cs="Times New Roman"/>
          <w:sz w:val="24"/>
          <w:szCs w:val="24"/>
          <w:lang w:eastAsia="bg-BG"/>
        </w:rPr>
        <w:t xml:space="preserve"> лв.</w:t>
      </w:r>
      <w:r w:rsidR="00AB01B1" w:rsidRPr="005D78C4">
        <w:rPr>
          <w:rFonts w:ascii="Times New Roman" w:eastAsia="Batang" w:hAnsi="Times New Roman" w:cs="Times New Roman"/>
          <w:sz w:val="24"/>
          <w:szCs w:val="24"/>
          <w:lang w:eastAsia="bg-BG"/>
        </w:rPr>
        <w:t>, от които 6 </w:t>
      </w:r>
      <w:r w:rsidR="008D6D30" w:rsidRPr="005D78C4">
        <w:rPr>
          <w:rFonts w:ascii="Times New Roman" w:eastAsia="Batang" w:hAnsi="Times New Roman" w:cs="Times New Roman"/>
          <w:sz w:val="24"/>
          <w:szCs w:val="24"/>
          <w:lang w:eastAsia="bg-BG"/>
        </w:rPr>
        <w:t>726</w:t>
      </w:r>
      <w:r w:rsidR="00AB01B1" w:rsidRPr="005D78C4">
        <w:rPr>
          <w:rFonts w:ascii="Times New Roman" w:eastAsia="Batang" w:hAnsi="Times New Roman" w:cs="Times New Roman"/>
          <w:sz w:val="24"/>
          <w:szCs w:val="24"/>
          <w:lang w:eastAsia="bg-BG"/>
        </w:rPr>
        <w:t> </w:t>
      </w:r>
      <w:r w:rsidR="008D6D30" w:rsidRPr="005D78C4">
        <w:rPr>
          <w:rFonts w:ascii="Times New Roman" w:eastAsia="Batang" w:hAnsi="Times New Roman" w:cs="Times New Roman"/>
          <w:sz w:val="24"/>
          <w:szCs w:val="24"/>
          <w:lang w:eastAsia="bg-BG"/>
        </w:rPr>
        <w:t>2</w:t>
      </w:r>
      <w:r w:rsidR="00AB01B1" w:rsidRPr="005D78C4">
        <w:rPr>
          <w:rFonts w:ascii="Times New Roman" w:eastAsia="Batang" w:hAnsi="Times New Roman" w:cs="Times New Roman"/>
          <w:sz w:val="24"/>
          <w:szCs w:val="24"/>
          <w:lang w:eastAsia="bg-BG"/>
        </w:rPr>
        <w:t>00 лв. по показател „Персонал“</w:t>
      </w:r>
      <w:r w:rsidR="008D6D30" w:rsidRPr="005D78C4">
        <w:rPr>
          <w:rFonts w:ascii="Times New Roman" w:eastAsia="Batang" w:hAnsi="Times New Roman" w:cs="Times New Roman"/>
          <w:sz w:val="24"/>
          <w:szCs w:val="24"/>
          <w:lang w:eastAsia="bg-BG"/>
        </w:rPr>
        <w:t xml:space="preserve"> и 320</w:t>
      </w:r>
      <w:r w:rsidR="008D6D30" w:rsidRPr="005D78C4">
        <w:rPr>
          <w:rFonts w:ascii="Times New Roman" w:hAnsi="Times New Roman" w:cs="Times New Roman"/>
          <w:sz w:val="24"/>
          <w:szCs w:val="24"/>
        </w:rPr>
        <w:t xml:space="preserve"> 000 лв.   за капиталови разходи. </w:t>
      </w:r>
    </w:p>
    <w:p w14:paraId="341E6FA8" w14:textId="3375955F" w:rsidR="001527C0" w:rsidRPr="005D78C4" w:rsidRDefault="00F60576" w:rsidP="00DB66D9">
      <w:pPr>
        <w:spacing w:after="40" w:line="264" w:lineRule="auto"/>
        <w:ind w:firstLine="709"/>
        <w:jc w:val="both"/>
        <w:rPr>
          <w:rFonts w:ascii="Times New Roman" w:eastAsia="MS Mincho" w:hAnsi="Times New Roman" w:cs="Times New Roman"/>
          <w:sz w:val="24"/>
          <w:szCs w:val="24"/>
          <w:lang w:eastAsia="bg-BG"/>
        </w:rPr>
      </w:pPr>
      <w:r w:rsidRPr="005D78C4">
        <w:rPr>
          <w:rFonts w:ascii="Times New Roman" w:eastAsia="MS Mincho" w:hAnsi="Times New Roman" w:cs="Times New Roman"/>
          <w:sz w:val="24"/>
          <w:szCs w:val="24"/>
          <w:lang w:eastAsia="bg-BG"/>
        </w:rPr>
        <w:t xml:space="preserve">Разходите са разпределени в една функционална област </w:t>
      </w:r>
      <w:r w:rsidR="005C4C5A" w:rsidRPr="005D78C4">
        <w:rPr>
          <w:rFonts w:ascii="Times New Roman" w:eastAsia="MS Mincho" w:hAnsi="Times New Roman" w:cs="Times New Roman"/>
          <w:sz w:val="24"/>
          <w:szCs w:val="24"/>
          <w:lang w:eastAsia="bg-BG"/>
        </w:rPr>
        <w:t xml:space="preserve">„Защита на конкуренцията и контрол на законосъобразността при процедурите по възлагане на обществени поръчки и предоставяне на концесии“ </w:t>
      </w:r>
      <w:r w:rsidRPr="005D78C4">
        <w:rPr>
          <w:rFonts w:ascii="Times New Roman" w:eastAsia="MS Mincho" w:hAnsi="Times New Roman" w:cs="Times New Roman"/>
          <w:sz w:val="24"/>
          <w:szCs w:val="24"/>
          <w:lang w:eastAsia="bg-BG"/>
        </w:rPr>
        <w:t xml:space="preserve">и </w:t>
      </w:r>
      <w:r w:rsidR="005C4C5A" w:rsidRPr="005D78C4">
        <w:rPr>
          <w:rFonts w:ascii="Times New Roman" w:eastAsia="MS Mincho" w:hAnsi="Times New Roman" w:cs="Times New Roman"/>
          <w:sz w:val="24"/>
          <w:szCs w:val="24"/>
          <w:lang w:eastAsia="bg-BG"/>
        </w:rPr>
        <w:t xml:space="preserve">една </w:t>
      </w:r>
      <w:r w:rsidRPr="005D78C4">
        <w:rPr>
          <w:rFonts w:ascii="Times New Roman" w:eastAsia="MS Mincho" w:hAnsi="Times New Roman" w:cs="Times New Roman"/>
          <w:sz w:val="24"/>
          <w:szCs w:val="24"/>
          <w:lang w:eastAsia="bg-BG"/>
        </w:rPr>
        <w:t xml:space="preserve">бюджетна програма </w:t>
      </w:r>
      <w:r w:rsidR="00EC0208" w:rsidRPr="005D78C4">
        <w:rPr>
          <w:rFonts w:ascii="Times New Roman" w:eastAsia="MS Mincho" w:hAnsi="Times New Roman" w:cs="Times New Roman"/>
          <w:sz w:val="24"/>
          <w:szCs w:val="24"/>
          <w:lang w:eastAsia="bg-BG"/>
        </w:rPr>
        <w:t>„Защита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r w:rsidR="001527C0" w:rsidRPr="005D78C4">
        <w:rPr>
          <w:rFonts w:ascii="Times New Roman" w:eastAsia="MS Mincho" w:hAnsi="Times New Roman" w:cs="Times New Roman"/>
          <w:sz w:val="24"/>
          <w:szCs w:val="24"/>
          <w:lang w:eastAsia="bg-BG"/>
        </w:rPr>
        <w:t>.</w:t>
      </w:r>
    </w:p>
    <w:p w14:paraId="72B1D755" w14:textId="02D6943E" w:rsidR="00F60576" w:rsidRPr="005D78C4" w:rsidRDefault="00F60576" w:rsidP="00DB66D9">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Към 30.06.202</w:t>
      </w:r>
      <w:r w:rsidR="008D6D30" w:rsidRPr="005D78C4">
        <w:rPr>
          <w:rFonts w:ascii="Times New Roman" w:hAnsi="Times New Roman" w:cs="Times New Roman"/>
          <w:sz w:val="24"/>
          <w:szCs w:val="24"/>
        </w:rPr>
        <w:t>5</w:t>
      </w:r>
      <w:r w:rsidRPr="005D78C4">
        <w:rPr>
          <w:rFonts w:ascii="Times New Roman" w:hAnsi="Times New Roman" w:cs="Times New Roman"/>
          <w:sz w:val="24"/>
          <w:szCs w:val="24"/>
        </w:rPr>
        <w:t xml:space="preserve"> г. по бюджета на КЗК са отчетени </w:t>
      </w:r>
      <w:r w:rsidR="00AB5B27" w:rsidRPr="005D78C4">
        <w:rPr>
          <w:rFonts w:ascii="Times New Roman" w:hAnsi="Times New Roman" w:cs="Times New Roman"/>
          <w:sz w:val="24"/>
          <w:szCs w:val="24"/>
        </w:rPr>
        <w:t>3</w:t>
      </w:r>
      <w:r w:rsidRPr="005D78C4">
        <w:rPr>
          <w:rFonts w:ascii="Times New Roman" w:hAnsi="Times New Roman" w:cs="Times New Roman"/>
          <w:sz w:val="24"/>
          <w:szCs w:val="24"/>
        </w:rPr>
        <w:t xml:space="preserve"> </w:t>
      </w:r>
      <w:r w:rsidR="008D6D30" w:rsidRPr="005D78C4">
        <w:rPr>
          <w:rFonts w:ascii="Times New Roman" w:hAnsi="Times New Roman" w:cs="Times New Roman"/>
          <w:sz w:val="24"/>
          <w:szCs w:val="24"/>
        </w:rPr>
        <w:t>331</w:t>
      </w:r>
      <w:r w:rsidRPr="005D78C4">
        <w:rPr>
          <w:rFonts w:ascii="Times New Roman" w:hAnsi="Times New Roman" w:cs="Times New Roman"/>
          <w:sz w:val="24"/>
          <w:szCs w:val="24"/>
        </w:rPr>
        <w:t> </w:t>
      </w:r>
      <w:r w:rsidR="008D6D30" w:rsidRPr="005D78C4">
        <w:rPr>
          <w:rFonts w:ascii="Times New Roman" w:hAnsi="Times New Roman" w:cs="Times New Roman"/>
          <w:sz w:val="24"/>
          <w:szCs w:val="24"/>
        </w:rPr>
        <w:t>624</w:t>
      </w:r>
      <w:r w:rsidRPr="005D78C4">
        <w:rPr>
          <w:rFonts w:ascii="Times New Roman" w:hAnsi="Times New Roman" w:cs="Times New Roman"/>
          <w:sz w:val="24"/>
          <w:szCs w:val="24"/>
        </w:rPr>
        <w:t xml:space="preserve"> лева ведомствени разходи, което представлява </w:t>
      </w:r>
      <w:r w:rsidR="00AB5B27" w:rsidRPr="005D78C4">
        <w:rPr>
          <w:rFonts w:ascii="Times New Roman" w:hAnsi="Times New Roman" w:cs="Times New Roman"/>
          <w:sz w:val="24"/>
          <w:szCs w:val="24"/>
        </w:rPr>
        <w:t>43</w:t>
      </w:r>
      <w:r w:rsidRPr="005D78C4">
        <w:rPr>
          <w:rFonts w:ascii="Times New Roman" w:hAnsi="Times New Roman" w:cs="Times New Roman"/>
          <w:sz w:val="24"/>
          <w:szCs w:val="24"/>
        </w:rPr>
        <w:t>,</w:t>
      </w:r>
      <w:r w:rsidR="008D6D30" w:rsidRPr="005D78C4">
        <w:rPr>
          <w:rFonts w:ascii="Times New Roman" w:hAnsi="Times New Roman" w:cs="Times New Roman"/>
          <w:sz w:val="24"/>
          <w:szCs w:val="24"/>
        </w:rPr>
        <w:t>13</w:t>
      </w:r>
      <w:r w:rsidRPr="005D78C4">
        <w:rPr>
          <w:rFonts w:ascii="Times New Roman" w:hAnsi="Times New Roman" w:cs="Times New Roman"/>
          <w:sz w:val="24"/>
          <w:szCs w:val="24"/>
        </w:rPr>
        <w:t xml:space="preserve"> % от размера на утвърдените разходи по бюджета на КЗК за 20</w:t>
      </w:r>
      <w:r w:rsidR="00321701" w:rsidRPr="005D78C4">
        <w:rPr>
          <w:rFonts w:ascii="Times New Roman" w:hAnsi="Times New Roman" w:cs="Times New Roman"/>
          <w:sz w:val="24"/>
          <w:szCs w:val="24"/>
        </w:rPr>
        <w:t>2</w:t>
      </w:r>
      <w:r w:rsidR="008D6D30" w:rsidRPr="005D78C4">
        <w:rPr>
          <w:rFonts w:ascii="Times New Roman" w:hAnsi="Times New Roman" w:cs="Times New Roman"/>
          <w:sz w:val="24"/>
          <w:szCs w:val="24"/>
        </w:rPr>
        <w:t>5</w:t>
      </w:r>
      <w:r w:rsidRPr="005D78C4">
        <w:rPr>
          <w:rFonts w:ascii="Times New Roman" w:hAnsi="Times New Roman" w:cs="Times New Roman"/>
          <w:sz w:val="24"/>
          <w:szCs w:val="24"/>
        </w:rPr>
        <w:t xml:space="preserve"> г.,</w:t>
      </w:r>
      <w:r w:rsidRPr="005D78C4">
        <w:rPr>
          <w:rFonts w:ascii="Times New Roman" w:eastAsia="MS Mincho" w:hAnsi="Times New Roman" w:cs="Times New Roman"/>
          <w:sz w:val="24"/>
          <w:szCs w:val="24"/>
          <w:lang w:eastAsia="bg-BG"/>
        </w:rPr>
        <w:t xml:space="preserve"> р</w:t>
      </w:r>
      <w:r w:rsidRPr="005D78C4">
        <w:rPr>
          <w:rFonts w:ascii="Times New Roman" w:hAnsi="Times New Roman" w:cs="Times New Roman"/>
          <w:sz w:val="24"/>
          <w:szCs w:val="24"/>
        </w:rPr>
        <w:t xml:space="preserve">азпределени  както следва: </w:t>
      </w:r>
    </w:p>
    <w:p w14:paraId="2B9EC281" w14:textId="70FCC1A4" w:rsidR="00F60576" w:rsidRPr="005D78C4" w:rsidRDefault="00F60576" w:rsidP="00DB66D9">
      <w:pPr>
        <w:pStyle w:val="ListParagraph"/>
        <w:numPr>
          <w:ilvl w:val="0"/>
          <w:numId w:val="3"/>
        </w:numPr>
        <w:spacing w:after="40" w:line="264" w:lineRule="auto"/>
        <w:ind w:hanging="11"/>
        <w:rPr>
          <w:rFonts w:ascii="Times New Roman" w:hAnsi="Times New Roman" w:cs="Times New Roman"/>
        </w:rPr>
      </w:pPr>
      <w:r w:rsidRPr="005D78C4">
        <w:rPr>
          <w:rFonts w:ascii="Times New Roman" w:hAnsi="Times New Roman" w:cs="Times New Roman"/>
        </w:rPr>
        <w:t>Персонал                                                                                     2</w:t>
      </w:r>
      <w:r w:rsidR="00321701" w:rsidRPr="005D78C4">
        <w:rPr>
          <w:rFonts w:ascii="Times New Roman" w:hAnsi="Times New Roman" w:cs="Times New Roman"/>
        </w:rPr>
        <w:t> </w:t>
      </w:r>
      <w:r w:rsidR="008D6D30" w:rsidRPr="005D78C4">
        <w:rPr>
          <w:rFonts w:ascii="Times New Roman" w:hAnsi="Times New Roman" w:cs="Times New Roman"/>
        </w:rPr>
        <w:t>911</w:t>
      </w:r>
      <w:r w:rsidR="00321701" w:rsidRPr="005D78C4">
        <w:rPr>
          <w:rFonts w:ascii="Times New Roman" w:hAnsi="Times New Roman" w:cs="Times New Roman"/>
        </w:rPr>
        <w:t xml:space="preserve"> </w:t>
      </w:r>
      <w:r w:rsidR="008D6D30" w:rsidRPr="005D78C4">
        <w:rPr>
          <w:rFonts w:ascii="Times New Roman" w:hAnsi="Times New Roman" w:cs="Times New Roman"/>
        </w:rPr>
        <w:t>165</w:t>
      </w:r>
      <w:r w:rsidRPr="005D78C4">
        <w:rPr>
          <w:rFonts w:ascii="Times New Roman" w:hAnsi="Times New Roman" w:cs="Times New Roman"/>
        </w:rPr>
        <w:t xml:space="preserve"> лв.</w:t>
      </w:r>
    </w:p>
    <w:p w14:paraId="16D30B82" w14:textId="3EC7D54F" w:rsidR="00F60576" w:rsidRPr="005D78C4" w:rsidRDefault="00F60576" w:rsidP="00DB66D9">
      <w:pPr>
        <w:pStyle w:val="ListParagraph"/>
        <w:numPr>
          <w:ilvl w:val="0"/>
          <w:numId w:val="3"/>
        </w:numPr>
        <w:spacing w:after="40" w:line="264" w:lineRule="auto"/>
        <w:ind w:hanging="11"/>
        <w:rPr>
          <w:rFonts w:ascii="Times New Roman" w:hAnsi="Times New Roman" w:cs="Times New Roman"/>
        </w:rPr>
      </w:pPr>
      <w:r w:rsidRPr="005D78C4">
        <w:rPr>
          <w:rFonts w:ascii="Times New Roman" w:hAnsi="Times New Roman" w:cs="Times New Roman"/>
        </w:rPr>
        <w:t xml:space="preserve">Издръжка                                                                                       </w:t>
      </w:r>
      <w:r w:rsidR="008D6D30" w:rsidRPr="005D78C4">
        <w:rPr>
          <w:rFonts w:ascii="Times New Roman" w:hAnsi="Times New Roman" w:cs="Times New Roman"/>
        </w:rPr>
        <w:t>417</w:t>
      </w:r>
      <w:r w:rsidRPr="005D78C4">
        <w:rPr>
          <w:rFonts w:ascii="Times New Roman" w:hAnsi="Times New Roman" w:cs="Times New Roman"/>
        </w:rPr>
        <w:t xml:space="preserve"> </w:t>
      </w:r>
      <w:r w:rsidR="008D6D30" w:rsidRPr="005D78C4">
        <w:rPr>
          <w:rFonts w:ascii="Times New Roman" w:hAnsi="Times New Roman" w:cs="Times New Roman"/>
        </w:rPr>
        <w:t>398</w:t>
      </w:r>
      <w:r w:rsidRPr="005D78C4">
        <w:rPr>
          <w:rFonts w:ascii="Times New Roman" w:hAnsi="Times New Roman" w:cs="Times New Roman"/>
        </w:rPr>
        <w:t xml:space="preserve"> лв.</w:t>
      </w:r>
    </w:p>
    <w:p w14:paraId="5A956D5A" w14:textId="7D5E271C" w:rsidR="00AB5B27" w:rsidRPr="005D78C4" w:rsidRDefault="00AB5B27" w:rsidP="00DB66D9">
      <w:pPr>
        <w:pStyle w:val="ListParagraph"/>
        <w:numPr>
          <w:ilvl w:val="0"/>
          <w:numId w:val="3"/>
        </w:numPr>
        <w:spacing w:after="40" w:line="264" w:lineRule="auto"/>
        <w:ind w:hanging="11"/>
        <w:rPr>
          <w:rFonts w:ascii="Times New Roman" w:hAnsi="Times New Roman" w:cs="Times New Roman"/>
        </w:rPr>
      </w:pPr>
      <w:r w:rsidRPr="005D78C4">
        <w:rPr>
          <w:rFonts w:ascii="Times New Roman" w:hAnsi="Times New Roman" w:cs="Times New Roman"/>
        </w:rPr>
        <w:t xml:space="preserve">Капиталови разходи                                                                       </w:t>
      </w:r>
      <w:r w:rsidR="008D6D30" w:rsidRPr="005D78C4">
        <w:rPr>
          <w:rFonts w:ascii="Times New Roman" w:hAnsi="Times New Roman" w:cs="Times New Roman"/>
        </w:rPr>
        <w:t xml:space="preserve"> 3</w:t>
      </w:r>
      <w:r w:rsidRPr="005D78C4">
        <w:rPr>
          <w:rFonts w:ascii="Times New Roman" w:hAnsi="Times New Roman" w:cs="Times New Roman"/>
        </w:rPr>
        <w:t> </w:t>
      </w:r>
      <w:r w:rsidR="008D6D30" w:rsidRPr="005D78C4">
        <w:rPr>
          <w:rFonts w:ascii="Times New Roman" w:hAnsi="Times New Roman" w:cs="Times New Roman"/>
        </w:rPr>
        <w:t>061</w:t>
      </w:r>
      <w:r w:rsidRPr="005D78C4">
        <w:rPr>
          <w:rFonts w:ascii="Times New Roman" w:hAnsi="Times New Roman" w:cs="Times New Roman"/>
        </w:rPr>
        <w:t xml:space="preserve"> лв.</w:t>
      </w:r>
    </w:p>
    <w:p w14:paraId="396D30DA" w14:textId="77777777" w:rsidR="00F60576" w:rsidRPr="005D78C4" w:rsidRDefault="00F60576" w:rsidP="00DB66D9">
      <w:pPr>
        <w:spacing w:after="40" w:line="264" w:lineRule="auto"/>
        <w:ind w:firstLine="708"/>
        <w:jc w:val="both"/>
        <w:rPr>
          <w:rFonts w:ascii="Times New Roman" w:eastAsia="Batang" w:hAnsi="Times New Roman" w:cs="Times New Roman"/>
          <w:sz w:val="24"/>
          <w:szCs w:val="24"/>
          <w:lang w:eastAsia="bg-BG"/>
        </w:rPr>
      </w:pPr>
      <w:r w:rsidRPr="005D78C4">
        <w:rPr>
          <w:rFonts w:ascii="Times New Roman" w:eastAsia="Batang" w:hAnsi="Times New Roman" w:cs="Times New Roman"/>
          <w:sz w:val="24"/>
          <w:szCs w:val="24"/>
          <w:lang w:eastAsia="bg-BG"/>
        </w:rPr>
        <w:t xml:space="preserve">Разходите за персонал включват заплатите и възнагражденията на персонала, нает по трудови и служебни правоотношения, други възнаграждения и плащания, разходи за възнаграждения на извънщатния персонал, обезщетения по Кодекса на труда и Закона за държавния служител и задължителните осигурителни вноски от работодателя.  </w:t>
      </w:r>
    </w:p>
    <w:p w14:paraId="64DDBB0E" w14:textId="21C1895B" w:rsidR="008C5C76" w:rsidRPr="005D78C4" w:rsidRDefault="00F60576" w:rsidP="00DB66D9">
      <w:pPr>
        <w:spacing w:after="40" w:line="264" w:lineRule="auto"/>
        <w:ind w:firstLine="709"/>
        <w:jc w:val="both"/>
        <w:rPr>
          <w:rFonts w:ascii="Times New Roman" w:eastAsia="Batang"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Разходите за издръжка в КЗК са в размер на </w:t>
      </w:r>
      <w:r w:rsidR="008C5C76" w:rsidRPr="005D78C4">
        <w:rPr>
          <w:rFonts w:ascii="Times New Roman" w:eastAsia="Times New Roman" w:hAnsi="Times New Roman" w:cs="Times New Roman"/>
          <w:sz w:val="24"/>
          <w:szCs w:val="24"/>
          <w:lang w:eastAsia="bg-BG"/>
        </w:rPr>
        <w:t>417</w:t>
      </w:r>
      <w:r w:rsidRPr="005D78C4">
        <w:rPr>
          <w:rFonts w:ascii="Times New Roman" w:eastAsia="Times New Roman" w:hAnsi="Times New Roman" w:cs="Times New Roman"/>
          <w:sz w:val="24"/>
          <w:szCs w:val="24"/>
          <w:lang w:eastAsia="bg-BG"/>
        </w:rPr>
        <w:t xml:space="preserve"> </w:t>
      </w:r>
      <w:r w:rsidR="008C5C76" w:rsidRPr="005D78C4">
        <w:rPr>
          <w:rFonts w:ascii="Times New Roman" w:eastAsia="Times New Roman" w:hAnsi="Times New Roman" w:cs="Times New Roman"/>
          <w:sz w:val="24"/>
          <w:szCs w:val="24"/>
          <w:lang w:eastAsia="bg-BG"/>
        </w:rPr>
        <w:t>398</w:t>
      </w:r>
      <w:r w:rsidRPr="005D78C4">
        <w:rPr>
          <w:rFonts w:ascii="Times New Roman" w:eastAsia="Times New Roman" w:hAnsi="Times New Roman" w:cs="Times New Roman"/>
          <w:sz w:val="24"/>
          <w:szCs w:val="24"/>
          <w:lang w:eastAsia="bg-BG"/>
        </w:rPr>
        <w:t xml:space="preserve"> лв. Най-голямата част от тях – </w:t>
      </w:r>
      <w:r w:rsidR="0080233E" w:rsidRPr="005D78C4">
        <w:rPr>
          <w:rFonts w:ascii="Times New Roman" w:eastAsia="Times New Roman" w:hAnsi="Times New Roman" w:cs="Times New Roman"/>
          <w:sz w:val="24"/>
          <w:szCs w:val="24"/>
          <w:lang w:eastAsia="bg-BG"/>
        </w:rPr>
        <w:t>1</w:t>
      </w:r>
      <w:r w:rsidR="008C5C76" w:rsidRPr="005D78C4">
        <w:rPr>
          <w:rFonts w:ascii="Times New Roman" w:eastAsia="Times New Roman" w:hAnsi="Times New Roman" w:cs="Times New Roman"/>
          <w:sz w:val="24"/>
          <w:szCs w:val="24"/>
          <w:lang w:eastAsia="bg-BG"/>
        </w:rPr>
        <w:t>98</w:t>
      </w:r>
      <w:r w:rsidRPr="005D78C4">
        <w:rPr>
          <w:rFonts w:ascii="Times New Roman" w:eastAsia="Times New Roman" w:hAnsi="Times New Roman" w:cs="Times New Roman"/>
          <w:sz w:val="24"/>
          <w:szCs w:val="24"/>
          <w:lang w:eastAsia="bg-BG"/>
        </w:rPr>
        <w:t> </w:t>
      </w:r>
      <w:r w:rsidR="008C5C76" w:rsidRPr="005D78C4">
        <w:rPr>
          <w:rFonts w:ascii="Times New Roman" w:eastAsia="Times New Roman" w:hAnsi="Times New Roman" w:cs="Times New Roman"/>
          <w:sz w:val="24"/>
          <w:szCs w:val="24"/>
          <w:lang w:eastAsia="bg-BG"/>
        </w:rPr>
        <w:t>242</w:t>
      </w:r>
      <w:r w:rsidRPr="005D78C4">
        <w:rPr>
          <w:rFonts w:ascii="Times New Roman" w:eastAsia="Times New Roman" w:hAnsi="Times New Roman" w:cs="Times New Roman"/>
          <w:sz w:val="24"/>
          <w:szCs w:val="24"/>
          <w:lang w:eastAsia="bg-BG"/>
        </w:rPr>
        <w:t xml:space="preserve"> лв., са за външни услуги, включващи </w:t>
      </w:r>
      <w:r w:rsidRPr="005D78C4">
        <w:rPr>
          <w:rFonts w:ascii="Times New Roman" w:eastAsia="Batang" w:hAnsi="Times New Roman" w:cs="Times New Roman"/>
          <w:sz w:val="24"/>
          <w:szCs w:val="24"/>
          <w:lang w:eastAsia="bg-BG"/>
        </w:rPr>
        <w:t>разходи за охрана, абонаментно обслужване на асансьорите и пожароизвестителната система в сградата, разходи за телефонни услуги, пощенски разходи за страната и чужбина, интернет услуги, копирни услуги, сертификати за електронни подписи, абонаментна поддръжка на софтуер за програмни продукти, на антивирусен софтуер</w:t>
      </w:r>
      <w:r w:rsidR="00594FCF" w:rsidRPr="005D78C4">
        <w:rPr>
          <w:rFonts w:ascii="Times New Roman" w:eastAsia="Batang" w:hAnsi="Times New Roman" w:cs="Times New Roman"/>
          <w:sz w:val="24"/>
          <w:szCs w:val="24"/>
          <w:lang w:eastAsia="bg-BG"/>
        </w:rPr>
        <w:t xml:space="preserve">, </w:t>
      </w:r>
      <w:r w:rsidR="008C5C76" w:rsidRPr="005D78C4">
        <w:rPr>
          <w:rFonts w:ascii="Times New Roman" w:eastAsia="Batang" w:hAnsi="Times New Roman" w:cs="Times New Roman"/>
          <w:sz w:val="24"/>
          <w:szCs w:val="24"/>
          <w:lang w:eastAsia="bg-BG"/>
        </w:rPr>
        <w:t xml:space="preserve">окончателно плащане за лиценз за специализиран софтуер XRY Pro, унищожаване на архивни документи с изтекъл срок за съхранение, </w:t>
      </w:r>
      <w:r w:rsidR="00594FCF" w:rsidRPr="005D78C4">
        <w:rPr>
          <w:rFonts w:ascii="Times New Roman" w:eastAsia="Batang" w:hAnsi="Times New Roman" w:cs="Times New Roman"/>
          <w:sz w:val="24"/>
          <w:szCs w:val="24"/>
          <w:lang w:eastAsia="bg-BG"/>
        </w:rPr>
        <w:t xml:space="preserve">дезинфекция на работните помещения </w:t>
      </w:r>
      <w:r w:rsidRPr="005D78C4">
        <w:rPr>
          <w:rFonts w:ascii="Times New Roman" w:eastAsia="Batang" w:hAnsi="Times New Roman" w:cs="Times New Roman"/>
          <w:sz w:val="24"/>
          <w:szCs w:val="24"/>
          <w:lang w:eastAsia="bg-BG"/>
        </w:rPr>
        <w:t xml:space="preserve">и др. </w:t>
      </w:r>
      <w:r w:rsidR="00594FCF" w:rsidRPr="005D78C4">
        <w:rPr>
          <w:rFonts w:ascii="Times New Roman" w:eastAsia="Batang" w:hAnsi="Times New Roman" w:cs="Times New Roman"/>
          <w:sz w:val="24"/>
          <w:szCs w:val="24"/>
          <w:lang w:eastAsia="bg-BG"/>
        </w:rPr>
        <w:t xml:space="preserve">В сумата са включени и възстановени разходи за външни услуги в размер на </w:t>
      </w:r>
      <w:r w:rsidR="004F4622" w:rsidRPr="005D78C4">
        <w:rPr>
          <w:rFonts w:ascii="Times New Roman" w:eastAsia="Batang" w:hAnsi="Times New Roman" w:cs="Times New Roman"/>
          <w:sz w:val="24"/>
          <w:szCs w:val="24"/>
          <w:lang w:val="en-US" w:eastAsia="bg-BG"/>
        </w:rPr>
        <w:t>1</w:t>
      </w:r>
      <w:r w:rsidR="00FC455F" w:rsidRPr="005D78C4">
        <w:rPr>
          <w:rFonts w:ascii="Times New Roman" w:eastAsia="Batang" w:hAnsi="Times New Roman" w:cs="Times New Roman"/>
          <w:sz w:val="24"/>
          <w:szCs w:val="24"/>
          <w:lang w:eastAsia="bg-BG"/>
        </w:rPr>
        <w:t>4</w:t>
      </w:r>
      <w:r w:rsidR="00594FCF" w:rsidRPr="005D78C4">
        <w:rPr>
          <w:rFonts w:ascii="Times New Roman" w:eastAsia="Batang" w:hAnsi="Times New Roman" w:cs="Times New Roman"/>
          <w:sz w:val="24"/>
          <w:szCs w:val="24"/>
          <w:lang w:eastAsia="bg-BG"/>
        </w:rPr>
        <w:t> </w:t>
      </w:r>
      <w:r w:rsidR="008C5C76" w:rsidRPr="005D78C4">
        <w:rPr>
          <w:rFonts w:ascii="Times New Roman" w:eastAsia="Batang" w:hAnsi="Times New Roman" w:cs="Times New Roman"/>
          <w:sz w:val="24"/>
          <w:szCs w:val="24"/>
          <w:lang w:eastAsia="bg-BG"/>
        </w:rPr>
        <w:t>115</w:t>
      </w:r>
      <w:r w:rsidR="00594FCF" w:rsidRPr="005D78C4">
        <w:rPr>
          <w:rFonts w:ascii="Times New Roman" w:eastAsia="Batang" w:hAnsi="Times New Roman" w:cs="Times New Roman"/>
          <w:sz w:val="24"/>
          <w:szCs w:val="24"/>
          <w:lang w:eastAsia="bg-BG"/>
        </w:rPr>
        <w:t xml:space="preserve"> лв.</w:t>
      </w:r>
      <w:r w:rsidR="00594FCF" w:rsidRPr="005D78C4">
        <w:t xml:space="preserve"> </w:t>
      </w:r>
      <w:r w:rsidRPr="005D78C4">
        <w:rPr>
          <w:rFonts w:ascii="Times New Roman" w:eastAsia="Batang" w:hAnsi="Times New Roman" w:cs="Times New Roman"/>
          <w:sz w:val="24"/>
          <w:szCs w:val="24"/>
          <w:lang w:eastAsia="bg-BG"/>
        </w:rPr>
        <w:t xml:space="preserve">За обезпечаване на нормалния процес на работата са извършени разходи за канцеларски материали, хигиенни материали, </w:t>
      </w:r>
      <w:r w:rsidR="00FC455F" w:rsidRPr="005D78C4">
        <w:rPr>
          <w:rFonts w:ascii="Times New Roman" w:eastAsia="Batang" w:hAnsi="Times New Roman" w:cs="Times New Roman"/>
          <w:sz w:val="24"/>
          <w:szCs w:val="24"/>
          <w:lang w:eastAsia="bg-BG"/>
        </w:rPr>
        <w:t xml:space="preserve">външни дискове, кабели, </w:t>
      </w:r>
      <w:r w:rsidRPr="005D78C4">
        <w:rPr>
          <w:rFonts w:ascii="Times New Roman" w:eastAsia="Batang" w:hAnsi="Times New Roman" w:cs="Times New Roman"/>
          <w:sz w:val="24"/>
          <w:szCs w:val="24"/>
          <w:lang w:eastAsia="bg-BG"/>
        </w:rPr>
        <w:t xml:space="preserve">консумативи за офис оборудване и др. на обща стойност </w:t>
      </w:r>
      <w:r w:rsidR="00EA30ED" w:rsidRPr="005D78C4">
        <w:rPr>
          <w:rFonts w:ascii="Times New Roman" w:eastAsia="Batang" w:hAnsi="Times New Roman" w:cs="Times New Roman"/>
          <w:sz w:val="24"/>
          <w:szCs w:val="24"/>
          <w:lang w:eastAsia="bg-BG"/>
        </w:rPr>
        <w:t>14</w:t>
      </w:r>
      <w:r w:rsidRPr="005D78C4">
        <w:rPr>
          <w:rFonts w:ascii="Times New Roman" w:eastAsia="Batang" w:hAnsi="Times New Roman" w:cs="Times New Roman"/>
          <w:sz w:val="24"/>
          <w:szCs w:val="24"/>
          <w:lang w:eastAsia="bg-BG"/>
        </w:rPr>
        <w:t xml:space="preserve"> </w:t>
      </w:r>
      <w:r w:rsidR="008C5C76" w:rsidRPr="005D78C4">
        <w:rPr>
          <w:rFonts w:ascii="Times New Roman" w:eastAsia="Batang" w:hAnsi="Times New Roman" w:cs="Times New Roman"/>
          <w:sz w:val="24"/>
          <w:szCs w:val="24"/>
          <w:lang w:eastAsia="bg-BG"/>
        </w:rPr>
        <w:t>919</w:t>
      </w:r>
      <w:r w:rsidRPr="005D78C4">
        <w:rPr>
          <w:rFonts w:ascii="Times New Roman" w:eastAsia="Batang" w:hAnsi="Times New Roman" w:cs="Times New Roman"/>
          <w:sz w:val="24"/>
          <w:szCs w:val="24"/>
          <w:lang w:eastAsia="bg-BG"/>
        </w:rPr>
        <w:t xml:space="preserve"> лв.</w:t>
      </w:r>
      <w:r w:rsidR="00594FCF" w:rsidRPr="005D78C4">
        <w:rPr>
          <w:rFonts w:ascii="Times New Roman" w:eastAsia="Batang" w:hAnsi="Times New Roman" w:cs="Times New Roman"/>
          <w:sz w:val="24"/>
          <w:szCs w:val="24"/>
          <w:lang w:eastAsia="bg-BG"/>
        </w:rPr>
        <w:t xml:space="preserve"> </w:t>
      </w:r>
      <w:r w:rsidRPr="005D78C4">
        <w:rPr>
          <w:rFonts w:ascii="Times New Roman" w:eastAsia="Batang" w:hAnsi="Times New Roman" w:cs="Times New Roman"/>
          <w:sz w:val="24"/>
          <w:szCs w:val="24"/>
          <w:lang w:eastAsia="bg-BG"/>
        </w:rPr>
        <w:t>Извършените разходи за заплащане на електроенергия, топлоенергия,</w:t>
      </w:r>
      <w:r w:rsidRPr="005D78C4">
        <w:rPr>
          <w:rFonts w:ascii="Times New Roman" w:eastAsia="MS Mincho" w:hAnsi="Times New Roman" w:cs="Times New Roman"/>
          <w:sz w:val="24"/>
          <w:szCs w:val="24"/>
          <w:lang w:eastAsia="bg-BG"/>
        </w:rPr>
        <w:t xml:space="preserve"> вода и горива за</w:t>
      </w:r>
      <w:r w:rsidRPr="005D78C4">
        <w:rPr>
          <w:rFonts w:ascii="Times New Roman" w:eastAsia="Batang" w:hAnsi="Times New Roman" w:cs="Times New Roman"/>
          <w:sz w:val="24"/>
          <w:szCs w:val="24"/>
          <w:lang w:eastAsia="bg-BG"/>
        </w:rPr>
        <w:t xml:space="preserve"> автомобилите на КЗК, </w:t>
      </w:r>
      <w:r w:rsidR="00143A3B" w:rsidRPr="005D78C4">
        <w:rPr>
          <w:rFonts w:ascii="Times New Roman" w:eastAsia="Batang" w:hAnsi="Times New Roman" w:cs="Times New Roman"/>
          <w:sz w:val="24"/>
          <w:szCs w:val="24"/>
          <w:lang w:eastAsia="bg-BG"/>
        </w:rPr>
        <w:t>са в</w:t>
      </w:r>
      <w:r w:rsidRPr="005D78C4">
        <w:rPr>
          <w:rFonts w:ascii="Times New Roman" w:eastAsia="Batang" w:hAnsi="Times New Roman" w:cs="Times New Roman"/>
          <w:sz w:val="24"/>
          <w:szCs w:val="24"/>
          <w:lang w:eastAsia="bg-BG"/>
        </w:rPr>
        <w:t xml:space="preserve"> размер на общо </w:t>
      </w:r>
      <w:r w:rsidR="008C5C76" w:rsidRPr="005D78C4">
        <w:rPr>
          <w:rFonts w:ascii="Times New Roman" w:eastAsia="Batang" w:hAnsi="Times New Roman" w:cs="Times New Roman"/>
          <w:sz w:val="24"/>
          <w:szCs w:val="24"/>
          <w:lang w:eastAsia="bg-BG"/>
        </w:rPr>
        <w:t>60</w:t>
      </w:r>
      <w:r w:rsidRPr="005D78C4">
        <w:rPr>
          <w:rFonts w:ascii="Times New Roman" w:eastAsia="Batang" w:hAnsi="Times New Roman" w:cs="Times New Roman"/>
          <w:sz w:val="24"/>
          <w:szCs w:val="24"/>
          <w:lang w:eastAsia="bg-BG"/>
        </w:rPr>
        <w:t> </w:t>
      </w:r>
      <w:r w:rsidR="008C5C76" w:rsidRPr="005D78C4">
        <w:rPr>
          <w:rFonts w:ascii="Times New Roman" w:eastAsia="Batang" w:hAnsi="Times New Roman" w:cs="Times New Roman"/>
          <w:sz w:val="24"/>
          <w:szCs w:val="24"/>
          <w:lang w:eastAsia="bg-BG"/>
        </w:rPr>
        <w:t>640</w:t>
      </w:r>
      <w:r w:rsidRPr="005D78C4">
        <w:rPr>
          <w:rFonts w:ascii="Times New Roman" w:eastAsia="Batang" w:hAnsi="Times New Roman" w:cs="Times New Roman"/>
          <w:sz w:val="24"/>
          <w:szCs w:val="24"/>
          <w:lang w:eastAsia="bg-BG"/>
        </w:rPr>
        <w:t xml:space="preserve"> лв.</w:t>
      </w:r>
      <w:r w:rsidR="00594FCF" w:rsidRPr="005D78C4">
        <w:rPr>
          <w:rFonts w:ascii="Times New Roman" w:eastAsia="Batang" w:hAnsi="Times New Roman" w:cs="Times New Roman"/>
          <w:sz w:val="24"/>
          <w:szCs w:val="24"/>
          <w:lang w:eastAsia="bg-BG"/>
        </w:rPr>
        <w:t xml:space="preserve"> </w:t>
      </w:r>
      <w:r w:rsidR="00594FCF" w:rsidRPr="005D78C4">
        <w:rPr>
          <w:rFonts w:ascii="Times New Roman" w:eastAsia="Batang" w:hAnsi="Times New Roman" w:cs="Times New Roman"/>
          <w:sz w:val="24"/>
          <w:szCs w:val="24"/>
          <w:lang w:val="en-US" w:eastAsia="bg-BG"/>
        </w:rPr>
        <w:t>(</w:t>
      </w:r>
      <w:r w:rsidR="00594FCF" w:rsidRPr="005D78C4">
        <w:rPr>
          <w:rFonts w:ascii="Times New Roman" w:eastAsia="Batang" w:hAnsi="Times New Roman" w:cs="Times New Roman"/>
          <w:sz w:val="24"/>
          <w:szCs w:val="24"/>
          <w:lang w:eastAsia="bg-BG"/>
        </w:rPr>
        <w:t>в т.ч.</w:t>
      </w:r>
      <w:r w:rsidRPr="005D78C4">
        <w:rPr>
          <w:rFonts w:ascii="Times New Roman" w:eastAsia="Batang" w:hAnsi="Times New Roman" w:cs="Times New Roman"/>
          <w:sz w:val="24"/>
          <w:szCs w:val="24"/>
          <w:lang w:eastAsia="bg-BG"/>
        </w:rPr>
        <w:t xml:space="preserve"> </w:t>
      </w:r>
      <w:r w:rsidR="00594FCF" w:rsidRPr="005D78C4">
        <w:rPr>
          <w:rFonts w:ascii="Times New Roman" w:eastAsia="Batang" w:hAnsi="Times New Roman" w:cs="Times New Roman"/>
          <w:sz w:val="24"/>
          <w:szCs w:val="24"/>
          <w:lang w:eastAsia="bg-BG"/>
        </w:rPr>
        <w:t xml:space="preserve">възстановени разходи за електроенергия от наематели в сградата в размер на </w:t>
      </w:r>
      <w:r w:rsidR="008C5C76" w:rsidRPr="005D78C4">
        <w:rPr>
          <w:rFonts w:ascii="Times New Roman" w:eastAsia="Batang" w:hAnsi="Times New Roman" w:cs="Times New Roman"/>
          <w:sz w:val="24"/>
          <w:szCs w:val="24"/>
          <w:lang w:eastAsia="bg-BG"/>
        </w:rPr>
        <w:t>951</w:t>
      </w:r>
      <w:r w:rsidR="00594FCF" w:rsidRPr="005D78C4">
        <w:rPr>
          <w:rFonts w:ascii="Times New Roman" w:eastAsia="Batang" w:hAnsi="Times New Roman" w:cs="Times New Roman"/>
          <w:sz w:val="24"/>
          <w:szCs w:val="24"/>
          <w:lang w:eastAsia="bg-BG"/>
        </w:rPr>
        <w:t xml:space="preserve"> лв.)</w:t>
      </w:r>
      <w:r w:rsidR="004F4622" w:rsidRPr="005D78C4">
        <w:rPr>
          <w:rFonts w:ascii="Times New Roman" w:eastAsia="Batang" w:hAnsi="Times New Roman" w:cs="Times New Roman"/>
          <w:sz w:val="24"/>
          <w:szCs w:val="24"/>
          <w:lang w:val="en-US" w:eastAsia="bg-BG"/>
        </w:rPr>
        <w:t>,</w:t>
      </w:r>
      <w:r w:rsidR="00594FCF" w:rsidRPr="005D78C4">
        <w:rPr>
          <w:rFonts w:ascii="Times New Roman" w:eastAsia="Batang" w:hAnsi="Times New Roman" w:cs="Times New Roman"/>
          <w:sz w:val="24"/>
          <w:szCs w:val="24"/>
          <w:lang w:eastAsia="bg-BG"/>
        </w:rPr>
        <w:t xml:space="preserve"> </w:t>
      </w:r>
      <w:r w:rsidRPr="005D78C4">
        <w:rPr>
          <w:rFonts w:ascii="Times New Roman" w:eastAsia="Batang" w:hAnsi="Times New Roman" w:cs="Times New Roman"/>
          <w:sz w:val="24"/>
          <w:szCs w:val="24"/>
          <w:lang w:eastAsia="bg-BG"/>
        </w:rPr>
        <w:t>от които с най-голям относителен дял са разходите за топлоенергия.</w:t>
      </w:r>
      <w:r w:rsidR="00594FCF" w:rsidRPr="005D78C4">
        <w:t xml:space="preserve"> </w:t>
      </w:r>
      <w:r w:rsidRPr="005D78C4">
        <w:rPr>
          <w:rFonts w:ascii="Times New Roman" w:eastAsia="Batang" w:hAnsi="Times New Roman" w:cs="Times New Roman"/>
          <w:sz w:val="24"/>
          <w:szCs w:val="24"/>
          <w:lang w:eastAsia="bg-BG"/>
        </w:rPr>
        <w:t>Извършени</w:t>
      </w:r>
      <w:r w:rsidR="00143A3B" w:rsidRPr="005D78C4">
        <w:rPr>
          <w:rFonts w:ascii="Times New Roman" w:eastAsia="Batang" w:hAnsi="Times New Roman" w:cs="Times New Roman"/>
          <w:sz w:val="24"/>
          <w:szCs w:val="24"/>
          <w:lang w:eastAsia="bg-BG"/>
        </w:rPr>
        <w:t xml:space="preserve"> са </w:t>
      </w:r>
      <w:r w:rsidRPr="005D78C4">
        <w:rPr>
          <w:rFonts w:ascii="Times New Roman" w:eastAsia="Batang" w:hAnsi="Times New Roman" w:cs="Times New Roman"/>
          <w:sz w:val="24"/>
          <w:szCs w:val="24"/>
          <w:lang w:eastAsia="bg-BG"/>
        </w:rPr>
        <w:t>разходи</w:t>
      </w:r>
      <w:r w:rsidR="00143A3B" w:rsidRPr="005D78C4">
        <w:rPr>
          <w:rFonts w:ascii="Times New Roman" w:eastAsia="Batang" w:hAnsi="Times New Roman" w:cs="Times New Roman"/>
          <w:sz w:val="24"/>
          <w:szCs w:val="24"/>
          <w:lang w:eastAsia="bg-BG"/>
        </w:rPr>
        <w:t xml:space="preserve"> в размер на </w:t>
      </w:r>
      <w:r w:rsidR="008C5C76" w:rsidRPr="005D78C4">
        <w:rPr>
          <w:rFonts w:ascii="Times New Roman" w:eastAsia="Batang" w:hAnsi="Times New Roman" w:cs="Times New Roman"/>
          <w:sz w:val="24"/>
          <w:szCs w:val="24"/>
          <w:lang w:eastAsia="bg-BG"/>
        </w:rPr>
        <w:t>33</w:t>
      </w:r>
      <w:r w:rsidR="00EA30ED" w:rsidRPr="005D78C4">
        <w:rPr>
          <w:rFonts w:ascii="Times New Roman" w:eastAsia="Batang" w:hAnsi="Times New Roman" w:cs="Times New Roman"/>
          <w:sz w:val="24"/>
          <w:szCs w:val="24"/>
          <w:lang w:eastAsia="bg-BG"/>
        </w:rPr>
        <w:t xml:space="preserve"> </w:t>
      </w:r>
      <w:r w:rsidR="008C5C76" w:rsidRPr="005D78C4">
        <w:rPr>
          <w:rFonts w:ascii="Times New Roman" w:eastAsia="Batang" w:hAnsi="Times New Roman" w:cs="Times New Roman"/>
          <w:sz w:val="24"/>
          <w:szCs w:val="24"/>
          <w:lang w:eastAsia="bg-BG"/>
        </w:rPr>
        <w:t>390</w:t>
      </w:r>
      <w:r w:rsidR="00143A3B" w:rsidRPr="005D78C4">
        <w:rPr>
          <w:rFonts w:ascii="Times New Roman" w:eastAsia="Batang" w:hAnsi="Times New Roman" w:cs="Times New Roman"/>
          <w:sz w:val="24"/>
          <w:szCs w:val="24"/>
          <w:lang w:eastAsia="bg-BG"/>
        </w:rPr>
        <w:t xml:space="preserve"> лв.</w:t>
      </w:r>
      <w:r w:rsidRPr="005D78C4">
        <w:rPr>
          <w:rFonts w:ascii="Times New Roman" w:eastAsia="Batang" w:hAnsi="Times New Roman" w:cs="Times New Roman"/>
          <w:sz w:val="24"/>
          <w:szCs w:val="24"/>
          <w:lang w:eastAsia="bg-BG"/>
        </w:rPr>
        <w:t xml:space="preserve"> </w:t>
      </w:r>
      <w:r w:rsidR="008C5C76" w:rsidRPr="005D78C4">
        <w:rPr>
          <w:rFonts w:ascii="Times New Roman" w:eastAsia="Batang" w:hAnsi="Times New Roman" w:cs="Times New Roman"/>
          <w:sz w:val="24"/>
          <w:szCs w:val="24"/>
          <w:lang w:eastAsia="bg-BG"/>
        </w:rPr>
        <w:t>за извършен текущ ремонт на</w:t>
      </w:r>
      <w:r w:rsidR="000E352F" w:rsidRPr="005D78C4">
        <w:rPr>
          <w:rFonts w:ascii="Times New Roman" w:eastAsia="Batang" w:hAnsi="Times New Roman" w:cs="Times New Roman"/>
          <w:sz w:val="24"/>
          <w:szCs w:val="24"/>
          <w:lang w:eastAsia="bg-BG"/>
        </w:rPr>
        <w:t xml:space="preserve"> сградата,</w:t>
      </w:r>
      <w:r w:rsidR="008C5C76" w:rsidRPr="005D78C4">
        <w:rPr>
          <w:rFonts w:ascii="Times New Roman" w:eastAsia="Batang" w:hAnsi="Times New Roman" w:cs="Times New Roman"/>
          <w:sz w:val="24"/>
          <w:szCs w:val="24"/>
          <w:lang w:eastAsia="bg-BG"/>
        </w:rPr>
        <w:t xml:space="preserve"> на два от служебните автомобили, на охранително съоръжение, на асансьорната уредба и </w:t>
      </w:r>
      <w:r w:rsidR="00D13236" w:rsidRPr="005D78C4">
        <w:rPr>
          <w:rFonts w:ascii="Times New Roman" w:eastAsia="Batang" w:hAnsi="Times New Roman" w:cs="Times New Roman"/>
          <w:sz w:val="24"/>
          <w:szCs w:val="24"/>
          <w:lang w:eastAsia="bg-BG"/>
        </w:rPr>
        <w:t xml:space="preserve">на </w:t>
      </w:r>
      <w:r w:rsidR="008C5C76" w:rsidRPr="005D78C4">
        <w:rPr>
          <w:rFonts w:ascii="Times New Roman" w:eastAsia="Batang" w:hAnsi="Times New Roman" w:cs="Times New Roman"/>
          <w:sz w:val="24"/>
          <w:szCs w:val="24"/>
          <w:lang w:eastAsia="bg-BG"/>
        </w:rPr>
        <w:t>пожароизвестителната система в сградата. В сумата са включен и възстановени разходи за ремонт в размер на 54 лв.</w:t>
      </w:r>
    </w:p>
    <w:p w14:paraId="6C28D7C0" w14:textId="78A8140F" w:rsidR="00D13236" w:rsidRPr="005D78C4" w:rsidRDefault="00F60576" w:rsidP="00DB66D9">
      <w:pPr>
        <w:spacing w:after="40" w:line="264" w:lineRule="auto"/>
        <w:ind w:firstLine="709"/>
        <w:jc w:val="both"/>
        <w:rPr>
          <w:rFonts w:ascii="Times New Roman" w:eastAsia="Batang" w:hAnsi="Times New Roman" w:cs="Times New Roman"/>
          <w:sz w:val="24"/>
          <w:szCs w:val="24"/>
          <w:lang w:eastAsia="bg-BG"/>
        </w:rPr>
      </w:pPr>
      <w:r w:rsidRPr="005D78C4">
        <w:rPr>
          <w:rFonts w:ascii="Times New Roman" w:eastAsia="Batang" w:hAnsi="Times New Roman" w:cs="Times New Roman"/>
          <w:sz w:val="24"/>
          <w:szCs w:val="24"/>
          <w:lang w:eastAsia="bg-BG"/>
        </w:rPr>
        <w:t>През първото полугодие на 202</w:t>
      </w:r>
      <w:r w:rsidR="00D13236" w:rsidRPr="005D78C4">
        <w:rPr>
          <w:rFonts w:ascii="Times New Roman" w:eastAsia="Batang" w:hAnsi="Times New Roman" w:cs="Times New Roman"/>
          <w:sz w:val="24"/>
          <w:szCs w:val="24"/>
          <w:lang w:eastAsia="bg-BG"/>
        </w:rPr>
        <w:t>5</w:t>
      </w:r>
      <w:r w:rsidRPr="005D78C4">
        <w:rPr>
          <w:rFonts w:ascii="Times New Roman" w:eastAsia="Batang" w:hAnsi="Times New Roman" w:cs="Times New Roman"/>
          <w:sz w:val="24"/>
          <w:szCs w:val="24"/>
          <w:lang w:eastAsia="bg-BG"/>
        </w:rPr>
        <w:t xml:space="preserve"> г. </w:t>
      </w:r>
      <w:r w:rsidR="00143A3B" w:rsidRPr="005D78C4">
        <w:rPr>
          <w:rFonts w:ascii="Times New Roman" w:eastAsia="Batang" w:hAnsi="Times New Roman" w:cs="Times New Roman"/>
          <w:sz w:val="24"/>
          <w:szCs w:val="24"/>
          <w:lang w:eastAsia="bg-BG"/>
        </w:rPr>
        <w:t xml:space="preserve">служители на КЗК </w:t>
      </w:r>
      <w:r w:rsidRPr="005D78C4">
        <w:rPr>
          <w:rFonts w:ascii="Times New Roman" w:eastAsia="Batang" w:hAnsi="Times New Roman" w:cs="Times New Roman"/>
          <w:sz w:val="24"/>
          <w:szCs w:val="24"/>
          <w:lang w:eastAsia="bg-BG"/>
        </w:rPr>
        <w:t>са командиров</w:t>
      </w:r>
      <w:r w:rsidR="00143A3B" w:rsidRPr="005D78C4">
        <w:rPr>
          <w:rFonts w:ascii="Times New Roman" w:eastAsia="Batang" w:hAnsi="Times New Roman" w:cs="Times New Roman"/>
          <w:sz w:val="24"/>
          <w:szCs w:val="24"/>
          <w:lang w:eastAsia="bg-BG"/>
        </w:rPr>
        <w:t>ани</w:t>
      </w:r>
      <w:r w:rsidRPr="005D78C4">
        <w:rPr>
          <w:rFonts w:ascii="Times New Roman" w:eastAsia="Batang" w:hAnsi="Times New Roman" w:cs="Times New Roman"/>
          <w:sz w:val="24"/>
          <w:szCs w:val="24"/>
          <w:lang w:eastAsia="bg-BG"/>
        </w:rPr>
        <w:t xml:space="preserve"> в чужбина </w:t>
      </w:r>
      <w:r w:rsidR="00D13236" w:rsidRPr="005D78C4">
        <w:rPr>
          <w:rFonts w:ascii="Times New Roman" w:eastAsia="Batang" w:hAnsi="Times New Roman" w:cs="Times New Roman"/>
          <w:sz w:val="24"/>
          <w:szCs w:val="24"/>
          <w:lang w:eastAsia="bg-BG"/>
        </w:rPr>
        <w:t>за участия в срещи на работни групи към Европейската мрежа по конкуренция</w:t>
      </w:r>
      <w:r w:rsidR="00D13236" w:rsidRPr="005D78C4">
        <w:rPr>
          <w:rFonts w:ascii="Times New Roman" w:eastAsia="Batang" w:hAnsi="Times New Roman" w:cs="Times New Roman"/>
          <w:sz w:val="24"/>
          <w:szCs w:val="24"/>
          <w:lang w:val="en-US" w:eastAsia="bg-BG"/>
        </w:rPr>
        <w:t xml:space="preserve"> </w:t>
      </w:r>
      <w:r w:rsidR="00D13236" w:rsidRPr="005D78C4">
        <w:rPr>
          <w:rFonts w:ascii="Times New Roman" w:eastAsia="Batang" w:hAnsi="Times New Roman" w:cs="Times New Roman"/>
          <w:sz w:val="24"/>
          <w:szCs w:val="24"/>
          <w:lang w:eastAsia="bg-BG"/>
        </w:rPr>
        <w:t>и към Съвета на ЕС, конференции, организирани от Главна дирекция „Конкуренция“ на Европейската комисия, семинари, организирани от регионалния център на ОИСР и др.</w:t>
      </w:r>
      <w:r w:rsidR="0078230A" w:rsidRPr="005D78C4">
        <w:rPr>
          <w:rFonts w:ascii="Times New Roman" w:eastAsia="Batang" w:hAnsi="Times New Roman" w:cs="Times New Roman"/>
          <w:sz w:val="24"/>
          <w:szCs w:val="24"/>
          <w:lang w:eastAsia="bg-BG"/>
        </w:rPr>
        <w:t>, като</w:t>
      </w:r>
      <w:r w:rsidR="00143A3B" w:rsidRPr="005D78C4">
        <w:rPr>
          <w:rFonts w:ascii="Times New Roman" w:eastAsia="Batang" w:hAnsi="Times New Roman" w:cs="Times New Roman"/>
          <w:sz w:val="24"/>
          <w:szCs w:val="24"/>
          <w:lang w:eastAsia="bg-BG"/>
        </w:rPr>
        <w:t xml:space="preserve"> </w:t>
      </w:r>
      <w:r w:rsidR="0078230A" w:rsidRPr="005D78C4">
        <w:rPr>
          <w:rFonts w:ascii="Times New Roman" w:eastAsia="Batang" w:hAnsi="Times New Roman" w:cs="Times New Roman"/>
          <w:sz w:val="24"/>
          <w:szCs w:val="24"/>
          <w:lang w:eastAsia="bg-BG"/>
        </w:rPr>
        <w:t xml:space="preserve">извършените </w:t>
      </w:r>
      <w:r w:rsidR="00143A3B" w:rsidRPr="005D78C4">
        <w:rPr>
          <w:rFonts w:ascii="Times New Roman" w:eastAsia="Batang" w:hAnsi="Times New Roman" w:cs="Times New Roman"/>
          <w:sz w:val="24"/>
          <w:szCs w:val="24"/>
          <w:lang w:eastAsia="bg-BG"/>
        </w:rPr>
        <w:t xml:space="preserve">разходи </w:t>
      </w:r>
      <w:r w:rsidR="0078230A" w:rsidRPr="005D78C4">
        <w:rPr>
          <w:rFonts w:ascii="Times New Roman" w:eastAsia="Batang" w:hAnsi="Times New Roman" w:cs="Times New Roman"/>
          <w:sz w:val="24"/>
          <w:szCs w:val="24"/>
          <w:lang w:eastAsia="bg-BG"/>
        </w:rPr>
        <w:t xml:space="preserve">са </w:t>
      </w:r>
      <w:r w:rsidR="00143A3B" w:rsidRPr="005D78C4">
        <w:rPr>
          <w:rFonts w:ascii="Times New Roman" w:eastAsia="Batang" w:hAnsi="Times New Roman" w:cs="Times New Roman"/>
          <w:sz w:val="24"/>
          <w:szCs w:val="24"/>
          <w:lang w:eastAsia="bg-BG"/>
        </w:rPr>
        <w:t xml:space="preserve">в размер на </w:t>
      </w:r>
      <w:r w:rsidR="00D13236" w:rsidRPr="005D78C4">
        <w:rPr>
          <w:rFonts w:ascii="Times New Roman" w:eastAsia="Batang" w:hAnsi="Times New Roman" w:cs="Times New Roman"/>
          <w:sz w:val="24"/>
          <w:szCs w:val="24"/>
          <w:lang w:eastAsia="bg-BG"/>
        </w:rPr>
        <w:t>5</w:t>
      </w:r>
      <w:r w:rsidR="00B5410B" w:rsidRPr="005D78C4">
        <w:rPr>
          <w:rFonts w:ascii="Times New Roman" w:eastAsia="Batang" w:hAnsi="Times New Roman" w:cs="Times New Roman"/>
          <w:sz w:val="24"/>
          <w:szCs w:val="24"/>
          <w:lang w:eastAsia="bg-BG"/>
        </w:rPr>
        <w:t>1</w:t>
      </w:r>
      <w:r w:rsidR="00143A3B" w:rsidRPr="005D78C4">
        <w:rPr>
          <w:rFonts w:ascii="Times New Roman" w:eastAsia="Batang" w:hAnsi="Times New Roman" w:cs="Times New Roman"/>
          <w:sz w:val="24"/>
          <w:szCs w:val="24"/>
          <w:lang w:eastAsia="bg-BG"/>
        </w:rPr>
        <w:t xml:space="preserve"> </w:t>
      </w:r>
      <w:r w:rsidR="00D13236" w:rsidRPr="005D78C4">
        <w:rPr>
          <w:rFonts w:ascii="Times New Roman" w:eastAsia="Batang" w:hAnsi="Times New Roman" w:cs="Times New Roman"/>
          <w:sz w:val="24"/>
          <w:szCs w:val="24"/>
          <w:lang w:eastAsia="bg-BG"/>
        </w:rPr>
        <w:t>996</w:t>
      </w:r>
      <w:r w:rsidR="00143A3B" w:rsidRPr="005D78C4">
        <w:rPr>
          <w:rFonts w:ascii="Times New Roman" w:eastAsia="Batang" w:hAnsi="Times New Roman" w:cs="Times New Roman"/>
          <w:sz w:val="24"/>
          <w:szCs w:val="24"/>
          <w:lang w:eastAsia="bg-BG"/>
        </w:rPr>
        <w:t xml:space="preserve"> лв.</w:t>
      </w:r>
      <w:r w:rsidR="00594FCF" w:rsidRPr="005D78C4">
        <w:rPr>
          <w:rFonts w:ascii="Times New Roman" w:eastAsia="Batang" w:hAnsi="Times New Roman" w:cs="Times New Roman"/>
          <w:sz w:val="24"/>
          <w:szCs w:val="24"/>
          <w:lang w:eastAsia="bg-BG"/>
        </w:rPr>
        <w:t xml:space="preserve">, </w:t>
      </w:r>
      <w:r w:rsidR="001568CE" w:rsidRPr="005D78C4">
        <w:rPr>
          <w:rFonts w:ascii="Times New Roman" w:eastAsia="Batang" w:hAnsi="Times New Roman" w:cs="Times New Roman"/>
          <w:sz w:val="24"/>
          <w:szCs w:val="24"/>
          <w:lang w:eastAsia="bg-BG"/>
        </w:rPr>
        <w:t>в т.ч.</w:t>
      </w:r>
      <w:r w:rsidR="00594FCF" w:rsidRPr="005D78C4">
        <w:rPr>
          <w:rFonts w:ascii="Times New Roman" w:eastAsia="Batang" w:hAnsi="Times New Roman" w:cs="Times New Roman"/>
          <w:sz w:val="24"/>
          <w:szCs w:val="24"/>
          <w:lang w:eastAsia="bg-BG"/>
        </w:rPr>
        <w:t xml:space="preserve"> възстановени от Европейската комисия разходи в размер на </w:t>
      </w:r>
      <w:r w:rsidR="00824B38" w:rsidRPr="005D78C4">
        <w:rPr>
          <w:rFonts w:ascii="Times New Roman" w:eastAsia="Batang" w:hAnsi="Times New Roman" w:cs="Times New Roman"/>
          <w:sz w:val="24"/>
          <w:szCs w:val="24"/>
          <w:lang w:eastAsia="bg-BG"/>
        </w:rPr>
        <w:t>8</w:t>
      </w:r>
      <w:r w:rsidR="00594FCF" w:rsidRPr="005D78C4">
        <w:rPr>
          <w:rFonts w:ascii="Times New Roman" w:eastAsia="Batang" w:hAnsi="Times New Roman" w:cs="Times New Roman"/>
          <w:sz w:val="24"/>
          <w:szCs w:val="24"/>
          <w:lang w:eastAsia="bg-BG"/>
        </w:rPr>
        <w:t> </w:t>
      </w:r>
      <w:r w:rsidR="00D13236" w:rsidRPr="005D78C4">
        <w:rPr>
          <w:rFonts w:ascii="Times New Roman" w:eastAsia="Batang" w:hAnsi="Times New Roman" w:cs="Times New Roman"/>
          <w:sz w:val="24"/>
          <w:szCs w:val="24"/>
          <w:lang w:eastAsia="bg-BG"/>
        </w:rPr>
        <w:t>496</w:t>
      </w:r>
      <w:r w:rsidR="00594FCF" w:rsidRPr="005D78C4">
        <w:rPr>
          <w:rFonts w:ascii="Times New Roman" w:eastAsia="Batang" w:hAnsi="Times New Roman" w:cs="Times New Roman"/>
          <w:sz w:val="24"/>
          <w:szCs w:val="24"/>
          <w:lang w:eastAsia="bg-BG"/>
        </w:rPr>
        <w:t xml:space="preserve"> лв.</w:t>
      </w:r>
      <w:r w:rsidR="0078230A" w:rsidRPr="005D78C4">
        <w:rPr>
          <w:rFonts w:ascii="Times New Roman" w:eastAsia="Batang" w:hAnsi="Times New Roman" w:cs="Times New Roman"/>
          <w:sz w:val="24"/>
          <w:szCs w:val="24"/>
          <w:lang w:eastAsia="bg-BG"/>
        </w:rPr>
        <w:t xml:space="preserve"> </w:t>
      </w:r>
    </w:p>
    <w:p w14:paraId="2AD1E6AB" w14:textId="77777777" w:rsidR="00C92D2C" w:rsidRPr="005D78C4" w:rsidRDefault="00F60576" w:rsidP="00DB66D9">
      <w:pPr>
        <w:spacing w:after="40" w:line="264" w:lineRule="auto"/>
        <w:ind w:firstLine="709"/>
        <w:jc w:val="both"/>
        <w:rPr>
          <w:rFonts w:ascii="Times New Roman" w:eastAsia="Batang" w:hAnsi="Times New Roman" w:cs="Times New Roman"/>
          <w:sz w:val="24"/>
          <w:szCs w:val="24"/>
          <w:lang w:eastAsia="bg-BG"/>
        </w:rPr>
      </w:pPr>
      <w:r w:rsidRPr="005D78C4">
        <w:rPr>
          <w:rFonts w:ascii="Times New Roman" w:eastAsia="Batang" w:hAnsi="Times New Roman" w:cs="Times New Roman"/>
          <w:sz w:val="24"/>
          <w:szCs w:val="24"/>
          <w:lang w:eastAsia="bg-BG"/>
        </w:rPr>
        <w:t xml:space="preserve">За застраховане на </w:t>
      </w:r>
      <w:r w:rsidR="000E352F" w:rsidRPr="005D78C4">
        <w:rPr>
          <w:rFonts w:ascii="Times New Roman" w:eastAsia="Batang" w:hAnsi="Times New Roman" w:cs="Times New Roman"/>
          <w:sz w:val="24"/>
          <w:szCs w:val="24"/>
          <w:lang w:eastAsia="bg-BG"/>
        </w:rPr>
        <w:t>един от служебните</w:t>
      </w:r>
      <w:r w:rsidRPr="005D78C4">
        <w:rPr>
          <w:rFonts w:ascii="Times New Roman" w:eastAsia="Batang" w:hAnsi="Times New Roman" w:cs="Times New Roman"/>
          <w:sz w:val="24"/>
          <w:szCs w:val="24"/>
          <w:lang w:eastAsia="bg-BG"/>
        </w:rPr>
        <w:t xml:space="preserve"> автомобили на КЗК за 202</w:t>
      </w:r>
      <w:r w:rsidR="00D13236" w:rsidRPr="005D78C4">
        <w:rPr>
          <w:rFonts w:ascii="Times New Roman" w:eastAsia="Batang" w:hAnsi="Times New Roman" w:cs="Times New Roman"/>
          <w:sz w:val="24"/>
          <w:szCs w:val="24"/>
          <w:lang w:eastAsia="bg-BG"/>
        </w:rPr>
        <w:t>5</w:t>
      </w:r>
      <w:r w:rsidRPr="005D78C4">
        <w:rPr>
          <w:rFonts w:ascii="Times New Roman" w:eastAsia="Batang" w:hAnsi="Times New Roman" w:cs="Times New Roman"/>
          <w:sz w:val="24"/>
          <w:szCs w:val="24"/>
          <w:lang w:eastAsia="bg-BG"/>
        </w:rPr>
        <w:t xml:space="preserve"> г. и 202</w:t>
      </w:r>
      <w:r w:rsidR="00D13236" w:rsidRPr="005D78C4">
        <w:rPr>
          <w:rFonts w:ascii="Times New Roman" w:eastAsia="Batang" w:hAnsi="Times New Roman" w:cs="Times New Roman"/>
          <w:sz w:val="24"/>
          <w:szCs w:val="24"/>
          <w:lang w:eastAsia="bg-BG"/>
        </w:rPr>
        <w:t>6</w:t>
      </w:r>
      <w:r w:rsidRPr="005D78C4">
        <w:rPr>
          <w:rFonts w:ascii="Times New Roman" w:eastAsia="Batang" w:hAnsi="Times New Roman" w:cs="Times New Roman"/>
          <w:sz w:val="24"/>
          <w:szCs w:val="24"/>
          <w:lang w:eastAsia="bg-BG"/>
        </w:rPr>
        <w:t xml:space="preserve"> г., както и за медицински застраховки на с</w:t>
      </w:r>
      <w:r w:rsidR="0078230A" w:rsidRPr="005D78C4">
        <w:rPr>
          <w:rFonts w:ascii="Times New Roman" w:eastAsia="Batang" w:hAnsi="Times New Roman" w:cs="Times New Roman"/>
          <w:sz w:val="24"/>
          <w:szCs w:val="24"/>
          <w:lang w:eastAsia="bg-BG"/>
        </w:rPr>
        <w:t>лужителите, са изплатени общо 1</w:t>
      </w:r>
      <w:r w:rsidR="008D4C22" w:rsidRPr="005D78C4">
        <w:rPr>
          <w:rFonts w:ascii="Times New Roman" w:eastAsia="Batang" w:hAnsi="Times New Roman" w:cs="Times New Roman"/>
          <w:sz w:val="24"/>
          <w:szCs w:val="24"/>
          <w:lang w:eastAsia="bg-BG"/>
        </w:rPr>
        <w:t>7</w:t>
      </w:r>
      <w:r w:rsidRPr="005D78C4">
        <w:rPr>
          <w:rFonts w:ascii="Times New Roman" w:eastAsia="Batang" w:hAnsi="Times New Roman" w:cs="Times New Roman"/>
          <w:sz w:val="24"/>
          <w:szCs w:val="24"/>
          <w:lang w:eastAsia="bg-BG"/>
        </w:rPr>
        <w:t> </w:t>
      </w:r>
      <w:r w:rsidR="00D13236" w:rsidRPr="005D78C4">
        <w:rPr>
          <w:rFonts w:ascii="Times New Roman" w:eastAsia="Batang" w:hAnsi="Times New Roman" w:cs="Times New Roman"/>
          <w:sz w:val="24"/>
          <w:szCs w:val="24"/>
          <w:lang w:eastAsia="bg-BG"/>
        </w:rPr>
        <w:t>144</w:t>
      </w:r>
      <w:r w:rsidRPr="005D78C4">
        <w:rPr>
          <w:rFonts w:ascii="Times New Roman" w:eastAsia="Batang" w:hAnsi="Times New Roman" w:cs="Times New Roman"/>
          <w:sz w:val="24"/>
          <w:szCs w:val="24"/>
          <w:lang w:eastAsia="bg-BG"/>
        </w:rPr>
        <w:t xml:space="preserve"> лв. </w:t>
      </w:r>
      <w:r w:rsidR="00725D93" w:rsidRPr="005D78C4">
        <w:rPr>
          <w:rFonts w:ascii="Times New Roman" w:eastAsia="Batang" w:hAnsi="Times New Roman" w:cs="Times New Roman"/>
          <w:sz w:val="24"/>
          <w:szCs w:val="24"/>
          <w:lang w:eastAsia="bg-BG"/>
        </w:rPr>
        <w:t>З</w:t>
      </w:r>
      <w:r w:rsidR="0078230A" w:rsidRPr="005D78C4">
        <w:rPr>
          <w:rFonts w:ascii="Times New Roman" w:eastAsia="Batang" w:hAnsi="Times New Roman" w:cs="Times New Roman"/>
          <w:sz w:val="24"/>
          <w:szCs w:val="24"/>
          <w:lang w:eastAsia="bg-BG"/>
        </w:rPr>
        <w:t xml:space="preserve">а </w:t>
      </w:r>
      <w:r w:rsidRPr="005D78C4">
        <w:rPr>
          <w:rFonts w:ascii="Times New Roman" w:eastAsia="Batang" w:hAnsi="Times New Roman" w:cs="Times New Roman"/>
          <w:sz w:val="24"/>
          <w:szCs w:val="24"/>
          <w:lang w:eastAsia="bg-BG"/>
        </w:rPr>
        <w:lastRenderedPageBreak/>
        <w:t xml:space="preserve">представителни разходи </w:t>
      </w:r>
      <w:r w:rsidR="0078230A" w:rsidRPr="005D78C4">
        <w:rPr>
          <w:rFonts w:ascii="Times New Roman" w:eastAsia="Batang" w:hAnsi="Times New Roman" w:cs="Times New Roman"/>
          <w:sz w:val="24"/>
          <w:szCs w:val="24"/>
          <w:lang w:eastAsia="bg-BG"/>
        </w:rPr>
        <w:t xml:space="preserve">са отчетени </w:t>
      </w:r>
      <w:r w:rsidRPr="005D78C4">
        <w:rPr>
          <w:rFonts w:ascii="Times New Roman" w:eastAsia="Batang" w:hAnsi="Times New Roman" w:cs="Times New Roman"/>
          <w:sz w:val="24"/>
          <w:szCs w:val="24"/>
          <w:lang w:eastAsia="bg-BG"/>
        </w:rPr>
        <w:t>с</w:t>
      </w:r>
      <w:r w:rsidR="0078230A" w:rsidRPr="005D78C4">
        <w:rPr>
          <w:rFonts w:ascii="Times New Roman" w:eastAsia="Batang" w:hAnsi="Times New Roman" w:cs="Times New Roman"/>
          <w:sz w:val="24"/>
          <w:szCs w:val="24"/>
          <w:lang w:eastAsia="bg-BG"/>
        </w:rPr>
        <w:t xml:space="preserve">редства </w:t>
      </w:r>
      <w:r w:rsidR="00725D93" w:rsidRPr="005D78C4">
        <w:rPr>
          <w:rFonts w:ascii="Times New Roman" w:eastAsia="Batang" w:hAnsi="Times New Roman" w:cs="Times New Roman"/>
          <w:sz w:val="24"/>
          <w:szCs w:val="24"/>
          <w:lang w:eastAsia="bg-BG"/>
        </w:rPr>
        <w:t>в</w:t>
      </w:r>
      <w:r w:rsidR="0078230A" w:rsidRPr="005D78C4">
        <w:rPr>
          <w:rFonts w:ascii="Times New Roman" w:eastAsia="Batang" w:hAnsi="Times New Roman" w:cs="Times New Roman"/>
          <w:sz w:val="24"/>
          <w:szCs w:val="24"/>
          <w:lang w:eastAsia="bg-BG"/>
        </w:rPr>
        <w:t xml:space="preserve"> размер на общо </w:t>
      </w:r>
      <w:r w:rsidR="008D4C22" w:rsidRPr="005D78C4">
        <w:rPr>
          <w:rFonts w:ascii="Times New Roman" w:eastAsia="Batang" w:hAnsi="Times New Roman" w:cs="Times New Roman"/>
          <w:sz w:val="24"/>
          <w:szCs w:val="24"/>
          <w:lang w:eastAsia="bg-BG"/>
        </w:rPr>
        <w:t>4</w:t>
      </w:r>
      <w:r w:rsidRPr="005D78C4">
        <w:rPr>
          <w:rFonts w:ascii="Times New Roman" w:eastAsia="Batang" w:hAnsi="Times New Roman" w:cs="Times New Roman"/>
          <w:sz w:val="24"/>
          <w:szCs w:val="24"/>
          <w:lang w:eastAsia="bg-BG"/>
        </w:rPr>
        <w:t> </w:t>
      </w:r>
      <w:r w:rsidR="000E352F" w:rsidRPr="005D78C4">
        <w:rPr>
          <w:rFonts w:ascii="Times New Roman" w:eastAsia="Batang" w:hAnsi="Times New Roman" w:cs="Times New Roman"/>
          <w:sz w:val="24"/>
          <w:szCs w:val="24"/>
          <w:lang w:eastAsia="bg-BG"/>
        </w:rPr>
        <w:t>729</w:t>
      </w:r>
      <w:r w:rsidRPr="005D78C4">
        <w:rPr>
          <w:rFonts w:ascii="Times New Roman" w:eastAsia="Batang" w:hAnsi="Times New Roman" w:cs="Times New Roman"/>
          <w:sz w:val="24"/>
          <w:szCs w:val="24"/>
          <w:lang w:eastAsia="bg-BG"/>
        </w:rPr>
        <w:t xml:space="preserve"> лв. </w:t>
      </w:r>
      <w:r w:rsidR="008D4C22" w:rsidRPr="005D78C4">
        <w:rPr>
          <w:rFonts w:ascii="Times New Roman" w:eastAsia="Batang" w:hAnsi="Times New Roman" w:cs="Times New Roman"/>
          <w:sz w:val="24"/>
          <w:szCs w:val="24"/>
          <w:lang w:eastAsia="bg-BG"/>
        </w:rPr>
        <w:t>За извършени парични преводи и за банкови такси за обслужване на сметка, са изплатени общо 1</w:t>
      </w:r>
      <w:r w:rsidR="00C92D2C" w:rsidRPr="005D78C4">
        <w:rPr>
          <w:rFonts w:ascii="Times New Roman" w:eastAsia="Batang" w:hAnsi="Times New Roman" w:cs="Times New Roman"/>
          <w:sz w:val="24"/>
          <w:szCs w:val="24"/>
          <w:lang w:eastAsia="bg-BG"/>
        </w:rPr>
        <w:t>0</w:t>
      </w:r>
      <w:r w:rsidR="008D4C22" w:rsidRPr="005D78C4">
        <w:rPr>
          <w:rFonts w:ascii="Times New Roman" w:eastAsia="Batang" w:hAnsi="Times New Roman" w:cs="Times New Roman"/>
          <w:sz w:val="24"/>
          <w:szCs w:val="24"/>
          <w:lang w:eastAsia="bg-BG"/>
        </w:rPr>
        <w:t>7 лв.</w:t>
      </w:r>
    </w:p>
    <w:p w14:paraId="52B9539A" w14:textId="49C878DF" w:rsidR="00C92D2C" w:rsidRPr="005D78C4" w:rsidRDefault="00F60576" w:rsidP="00DB66D9">
      <w:pPr>
        <w:spacing w:after="40" w:line="264" w:lineRule="auto"/>
        <w:ind w:firstLine="709"/>
        <w:jc w:val="both"/>
        <w:rPr>
          <w:rFonts w:ascii="Times New Roman" w:eastAsia="Batang" w:hAnsi="Times New Roman" w:cs="Times New Roman"/>
          <w:sz w:val="24"/>
          <w:szCs w:val="24"/>
          <w:lang w:eastAsia="bg-BG"/>
        </w:rPr>
      </w:pPr>
      <w:r w:rsidRPr="005D78C4">
        <w:rPr>
          <w:rFonts w:ascii="Times New Roman" w:eastAsia="Batang" w:hAnsi="Times New Roman" w:cs="Times New Roman"/>
          <w:sz w:val="24"/>
          <w:szCs w:val="24"/>
          <w:lang w:eastAsia="bg-BG"/>
        </w:rPr>
        <w:t xml:space="preserve">През отчетния период са извършени и разходи на обща стойност </w:t>
      </w:r>
      <w:r w:rsidR="00C92D2C" w:rsidRPr="005D78C4">
        <w:rPr>
          <w:rFonts w:ascii="Times New Roman" w:eastAsia="Batang" w:hAnsi="Times New Roman" w:cs="Times New Roman"/>
          <w:sz w:val="24"/>
          <w:szCs w:val="24"/>
          <w:lang w:eastAsia="bg-BG"/>
        </w:rPr>
        <w:t>8</w:t>
      </w:r>
      <w:r w:rsidRPr="005D78C4">
        <w:rPr>
          <w:rFonts w:ascii="Times New Roman" w:eastAsia="Batang" w:hAnsi="Times New Roman" w:cs="Times New Roman"/>
          <w:sz w:val="24"/>
          <w:szCs w:val="24"/>
          <w:lang w:eastAsia="bg-BG"/>
        </w:rPr>
        <w:t> </w:t>
      </w:r>
      <w:r w:rsidR="00C92D2C" w:rsidRPr="005D78C4">
        <w:rPr>
          <w:rFonts w:ascii="Times New Roman" w:eastAsia="Batang" w:hAnsi="Times New Roman" w:cs="Times New Roman"/>
          <w:sz w:val="24"/>
          <w:szCs w:val="24"/>
          <w:lang w:eastAsia="bg-BG"/>
        </w:rPr>
        <w:t>849</w:t>
      </w:r>
      <w:r w:rsidRPr="005D78C4">
        <w:rPr>
          <w:rFonts w:ascii="Times New Roman" w:eastAsia="Batang" w:hAnsi="Times New Roman" w:cs="Times New Roman"/>
          <w:sz w:val="24"/>
          <w:szCs w:val="24"/>
          <w:lang w:eastAsia="bg-BG"/>
        </w:rPr>
        <w:t xml:space="preserve"> лв. за </w:t>
      </w:r>
      <w:r w:rsidR="00C92D2C" w:rsidRPr="005D78C4">
        <w:rPr>
          <w:rFonts w:ascii="Times New Roman" w:eastAsia="Batang" w:hAnsi="Times New Roman" w:cs="Times New Roman"/>
          <w:sz w:val="24"/>
          <w:szCs w:val="24"/>
          <w:lang w:eastAsia="bg-BG"/>
        </w:rPr>
        <w:t xml:space="preserve"> заплащане на: съдебни такси за производства пред ВАС и СРС; винетни стикери за служебните автомобили за 2025 г.; държавни такси за извършен технически преглед на асансьорите в сградата; такси за вписване в Регистър Булстат; данъци върху превозните средства за 2025 г. на автомобилите на КЗК; данък върху недвижимите имоти; такса битови отпадъци за 2025 г. за сградата на КЗК. В сумата са включени и възстановени разходи за държавни такси в размер на 1 000 лв. във връзка със спечелени от КЗК дела.</w:t>
      </w:r>
    </w:p>
    <w:p w14:paraId="73496A6B" w14:textId="77777777" w:rsidR="00D22DCA" w:rsidRPr="005D78C4" w:rsidRDefault="00EA30ED" w:rsidP="00DB66D9">
      <w:pPr>
        <w:spacing w:after="40" w:line="264" w:lineRule="auto"/>
        <w:ind w:firstLine="708"/>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В сумата на ведомствените разходи за издръжка е включена и вноската за членството на КЗК в Комитета по конкуренция на Организацията за икономическо сътрудничество и развитие за 202</w:t>
      </w:r>
      <w:r w:rsidR="00C92D2C" w:rsidRPr="005D78C4">
        <w:rPr>
          <w:rFonts w:ascii="Times New Roman" w:eastAsia="Times New Roman" w:hAnsi="Times New Roman" w:cs="Times New Roman"/>
          <w:sz w:val="24"/>
          <w:szCs w:val="24"/>
          <w:lang w:eastAsia="bg-BG"/>
        </w:rPr>
        <w:t>5</w:t>
      </w:r>
      <w:r w:rsidRPr="005D78C4">
        <w:rPr>
          <w:rFonts w:ascii="Times New Roman" w:eastAsia="Times New Roman" w:hAnsi="Times New Roman" w:cs="Times New Roman"/>
          <w:sz w:val="24"/>
          <w:szCs w:val="24"/>
          <w:lang w:eastAsia="bg-BG"/>
        </w:rPr>
        <w:t xml:space="preserve"> г. - 2</w:t>
      </w:r>
      <w:r w:rsidR="00C92D2C" w:rsidRPr="005D78C4">
        <w:rPr>
          <w:rFonts w:ascii="Times New Roman" w:eastAsia="Times New Roman" w:hAnsi="Times New Roman" w:cs="Times New Roman"/>
          <w:sz w:val="24"/>
          <w:szCs w:val="24"/>
          <w:lang w:eastAsia="bg-BG"/>
        </w:rPr>
        <w:t>7</w:t>
      </w:r>
      <w:r w:rsidRPr="005D78C4">
        <w:rPr>
          <w:rFonts w:ascii="Times New Roman" w:eastAsia="Times New Roman" w:hAnsi="Times New Roman" w:cs="Times New Roman"/>
          <w:sz w:val="24"/>
          <w:szCs w:val="24"/>
          <w:lang w:eastAsia="bg-BG"/>
        </w:rPr>
        <w:t xml:space="preserve"> </w:t>
      </w:r>
      <w:r w:rsidR="00C92D2C" w:rsidRPr="005D78C4">
        <w:rPr>
          <w:rFonts w:ascii="Times New Roman" w:eastAsia="Times New Roman" w:hAnsi="Times New Roman" w:cs="Times New Roman"/>
          <w:sz w:val="24"/>
          <w:szCs w:val="24"/>
          <w:lang w:eastAsia="bg-BG"/>
        </w:rPr>
        <w:t>382</w:t>
      </w:r>
      <w:r w:rsidRPr="005D78C4">
        <w:rPr>
          <w:rFonts w:ascii="Times New Roman" w:eastAsia="Times New Roman" w:hAnsi="Times New Roman" w:cs="Times New Roman"/>
          <w:sz w:val="24"/>
          <w:szCs w:val="24"/>
          <w:lang w:eastAsia="bg-BG"/>
        </w:rPr>
        <w:t xml:space="preserve"> лв.</w:t>
      </w:r>
    </w:p>
    <w:p w14:paraId="225C0B72" w14:textId="2A07FBA1" w:rsidR="00C92D2C" w:rsidRPr="005D78C4" w:rsidRDefault="0080233E" w:rsidP="00DB66D9">
      <w:pPr>
        <w:spacing w:after="40" w:line="264" w:lineRule="auto"/>
        <w:ind w:firstLine="708"/>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През първата половина на 202</w:t>
      </w:r>
      <w:r w:rsidR="00D22DCA" w:rsidRPr="005D78C4">
        <w:rPr>
          <w:rFonts w:ascii="Times New Roman" w:eastAsia="Times New Roman" w:hAnsi="Times New Roman" w:cs="Times New Roman"/>
          <w:sz w:val="24"/>
          <w:szCs w:val="24"/>
          <w:lang w:eastAsia="bg-BG"/>
        </w:rPr>
        <w:t>5</w:t>
      </w:r>
      <w:r w:rsidRPr="005D78C4">
        <w:rPr>
          <w:rFonts w:ascii="Times New Roman" w:eastAsia="Times New Roman" w:hAnsi="Times New Roman" w:cs="Times New Roman"/>
          <w:sz w:val="24"/>
          <w:szCs w:val="24"/>
          <w:lang w:eastAsia="bg-BG"/>
        </w:rPr>
        <w:t xml:space="preserve"> г. </w:t>
      </w:r>
      <w:r w:rsidR="00350F7A" w:rsidRPr="005D78C4">
        <w:rPr>
          <w:rFonts w:ascii="Times New Roman" w:eastAsia="Times New Roman" w:hAnsi="Times New Roman" w:cs="Times New Roman"/>
          <w:sz w:val="24"/>
          <w:szCs w:val="24"/>
          <w:lang w:eastAsia="bg-BG"/>
        </w:rPr>
        <w:t xml:space="preserve">са извършени </w:t>
      </w:r>
      <w:r w:rsidR="00D22DCA" w:rsidRPr="005D78C4">
        <w:rPr>
          <w:rFonts w:ascii="Times New Roman" w:eastAsia="Times New Roman" w:hAnsi="Times New Roman" w:cs="Times New Roman"/>
          <w:sz w:val="24"/>
          <w:szCs w:val="24"/>
          <w:lang w:eastAsia="bg-BG"/>
        </w:rPr>
        <w:t xml:space="preserve">капиталови </w:t>
      </w:r>
      <w:r w:rsidR="00824B38" w:rsidRPr="005D78C4">
        <w:rPr>
          <w:rFonts w:ascii="Times New Roman" w:eastAsia="Times New Roman" w:hAnsi="Times New Roman" w:cs="Times New Roman"/>
          <w:sz w:val="24"/>
          <w:szCs w:val="24"/>
          <w:lang w:eastAsia="bg-BG"/>
        </w:rPr>
        <w:t xml:space="preserve">разходи в </w:t>
      </w:r>
      <w:r w:rsidR="00C92D2C" w:rsidRPr="005D78C4">
        <w:rPr>
          <w:rFonts w:ascii="Times New Roman" w:eastAsia="Times New Roman" w:hAnsi="Times New Roman" w:cs="Times New Roman"/>
          <w:sz w:val="24"/>
          <w:szCs w:val="24"/>
          <w:lang w:eastAsia="bg-BG"/>
        </w:rPr>
        <w:t>размер на 3 061 лв. за доставка и монтаж на климатична система.</w:t>
      </w:r>
    </w:p>
    <w:p w14:paraId="44ED793A" w14:textId="77777777" w:rsidR="001527C0" w:rsidRPr="005D78C4" w:rsidRDefault="001527C0" w:rsidP="00DB66D9">
      <w:pPr>
        <w:spacing w:after="40" w:line="264" w:lineRule="auto"/>
        <w:ind w:firstLine="709"/>
        <w:jc w:val="both"/>
        <w:rPr>
          <w:rFonts w:ascii="Times New Roman" w:eastAsia="Batang" w:hAnsi="Times New Roman" w:cs="Times New Roman"/>
          <w:kern w:val="20"/>
          <w:sz w:val="24"/>
          <w:szCs w:val="24"/>
        </w:rPr>
      </w:pPr>
    </w:p>
    <w:p w14:paraId="1DAAB52F" w14:textId="584968CD" w:rsidR="00756023" w:rsidRPr="005D78C4" w:rsidRDefault="00756023" w:rsidP="00DB66D9">
      <w:pPr>
        <w:spacing w:after="40" w:line="264" w:lineRule="auto"/>
        <w:rPr>
          <w:rFonts w:ascii="Times New Roman" w:hAnsi="Times New Roman" w:cs="Times New Roman"/>
          <w:b/>
          <w:bCs/>
          <w:i/>
        </w:rPr>
      </w:pPr>
      <w:r w:rsidRPr="005D78C4">
        <w:rPr>
          <w:rFonts w:ascii="Times New Roman" w:hAnsi="Times New Roman" w:cs="Times New Roman"/>
          <w:b/>
          <w:bCs/>
          <w:i/>
        </w:rPr>
        <w:t xml:space="preserve">Приложение № 3 - </w:t>
      </w:r>
      <w:r w:rsidRPr="005D78C4">
        <w:rPr>
          <w:rFonts w:ascii="Times New Roman" w:hAnsi="Times New Roman" w:cs="Times New Roman"/>
          <w:bCs/>
        </w:rPr>
        <w:t>Финансиране на консолидираните разходи</w:t>
      </w:r>
    </w:p>
    <w:tbl>
      <w:tblPr>
        <w:tblW w:w="9289" w:type="dxa"/>
        <w:tblInd w:w="-147" w:type="dxa"/>
        <w:tblCellMar>
          <w:left w:w="70" w:type="dxa"/>
          <w:right w:w="70" w:type="dxa"/>
        </w:tblCellMar>
        <w:tblLook w:val="04A0" w:firstRow="1" w:lastRow="0" w:firstColumn="1" w:lastColumn="0" w:noHBand="0" w:noVBand="1"/>
      </w:tblPr>
      <w:tblGrid>
        <w:gridCol w:w="5887"/>
        <w:gridCol w:w="1134"/>
        <w:gridCol w:w="1134"/>
        <w:gridCol w:w="1134"/>
      </w:tblGrid>
      <w:tr w:rsidR="00D22DCA" w:rsidRPr="005D78C4" w14:paraId="06E61271" w14:textId="77777777" w:rsidTr="00925B02">
        <w:trPr>
          <w:trHeight w:val="750"/>
        </w:trPr>
        <w:tc>
          <w:tcPr>
            <w:tcW w:w="5887" w:type="dxa"/>
            <w:tcBorders>
              <w:top w:val="single" w:sz="4" w:space="0" w:color="auto"/>
              <w:left w:val="single" w:sz="4" w:space="0" w:color="auto"/>
              <w:bottom w:val="single" w:sz="4" w:space="0" w:color="auto"/>
              <w:right w:val="single" w:sz="4" w:space="0" w:color="auto"/>
            </w:tcBorders>
            <w:shd w:val="clear" w:color="D9D9D9" w:fill="E6E6E6"/>
            <w:vAlign w:val="center"/>
            <w:hideMark/>
          </w:tcPr>
          <w:p w14:paraId="5C583CF6" w14:textId="77777777" w:rsidR="00F60576" w:rsidRPr="005D78C4" w:rsidRDefault="00F60576" w:rsidP="00DB66D9">
            <w:pPr>
              <w:spacing w:after="40" w:line="264" w:lineRule="auto"/>
              <w:jc w:val="center"/>
              <w:rPr>
                <w:rFonts w:ascii="Times New Roman" w:eastAsia="Times New Roman" w:hAnsi="Times New Roman" w:cs="Times New Roman"/>
                <w:b/>
                <w:bCs/>
                <w:lang w:eastAsia="bg-BG"/>
              </w:rPr>
            </w:pPr>
            <w:r w:rsidRPr="005D78C4">
              <w:rPr>
                <w:rFonts w:ascii="Times New Roman" w:eastAsia="Times New Roman" w:hAnsi="Times New Roman" w:cs="Times New Roman"/>
                <w:b/>
                <w:bCs/>
                <w:lang w:eastAsia="bg-BG"/>
              </w:rPr>
              <w:t>Финансиране на консолидираните разходи, обхванати в програмния бюджет</w:t>
            </w:r>
            <w:r w:rsidRPr="005D78C4">
              <w:rPr>
                <w:rFonts w:ascii="Times New Roman" w:eastAsia="Times New Roman" w:hAnsi="Times New Roman" w:cs="Times New Roman"/>
                <w:b/>
                <w:bCs/>
                <w:lang w:eastAsia="bg-BG"/>
              </w:rPr>
              <w:br/>
              <w:t>(в лева)</w:t>
            </w:r>
          </w:p>
        </w:tc>
        <w:tc>
          <w:tcPr>
            <w:tcW w:w="1134" w:type="dxa"/>
            <w:tcBorders>
              <w:top w:val="single" w:sz="4" w:space="0" w:color="auto"/>
              <w:left w:val="nil"/>
              <w:bottom w:val="single" w:sz="4" w:space="0" w:color="auto"/>
              <w:right w:val="single" w:sz="4" w:space="0" w:color="auto"/>
            </w:tcBorders>
            <w:shd w:val="clear" w:color="D9D9D9" w:fill="E6E6E6"/>
            <w:noWrap/>
            <w:vAlign w:val="center"/>
            <w:hideMark/>
          </w:tcPr>
          <w:p w14:paraId="402788AD" w14:textId="77777777" w:rsidR="00F60576" w:rsidRPr="005D78C4" w:rsidRDefault="00F60576" w:rsidP="00DB66D9">
            <w:pPr>
              <w:spacing w:after="40" w:line="264" w:lineRule="auto"/>
              <w:jc w:val="center"/>
              <w:rPr>
                <w:rFonts w:ascii="Times New Roman" w:eastAsia="Times New Roman" w:hAnsi="Times New Roman" w:cs="Times New Roman"/>
                <w:b/>
                <w:bCs/>
                <w:lang w:eastAsia="bg-BG"/>
              </w:rPr>
            </w:pPr>
            <w:r w:rsidRPr="005D78C4">
              <w:rPr>
                <w:rFonts w:ascii="Times New Roman" w:eastAsia="Times New Roman" w:hAnsi="Times New Roman" w:cs="Times New Roman"/>
                <w:b/>
                <w:bCs/>
                <w:lang w:eastAsia="bg-BG"/>
              </w:rPr>
              <w:t>Закон</w:t>
            </w:r>
          </w:p>
        </w:tc>
        <w:tc>
          <w:tcPr>
            <w:tcW w:w="1134" w:type="dxa"/>
            <w:tcBorders>
              <w:top w:val="single" w:sz="4" w:space="0" w:color="auto"/>
              <w:left w:val="nil"/>
              <w:bottom w:val="single" w:sz="4" w:space="0" w:color="auto"/>
              <w:right w:val="single" w:sz="4" w:space="0" w:color="auto"/>
            </w:tcBorders>
            <w:shd w:val="clear" w:color="D9D9D9" w:fill="E6E6E6"/>
            <w:vAlign w:val="center"/>
            <w:hideMark/>
          </w:tcPr>
          <w:p w14:paraId="47B3307C" w14:textId="77777777" w:rsidR="00F60576" w:rsidRPr="005D78C4" w:rsidRDefault="00F60576" w:rsidP="00DB66D9">
            <w:pPr>
              <w:spacing w:after="40" w:line="264" w:lineRule="auto"/>
              <w:jc w:val="center"/>
              <w:rPr>
                <w:rFonts w:ascii="Times New Roman" w:eastAsia="Times New Roman" w:hAnsi="Times New Roman" w:cs="Times New Roman"/>
                <w:b/>
                <w:bCs/>
                <w:lang w:eastAsia="bg-BG"/>
              </w:rPr>
            </w:pPr>
            <w:r w:rsidRPr="005D78C4">
              <w:rPr>
                <w:rFonts w:ascii="Times New Roman" w:eastAsia="Times New Roman" w:hAnsi="Times New Roman" w:cs="Times New Roman"/>
                <w:b/>
                <w:bCs/>
                <w:lang w:eastAsia="bg-BG"/>
              </w:rPr>
              <w:t>Уточнен план</w:t>
            </w:r>
          </w:p>
        </w:tc>
        <w:tc>
          <w:tcPr>
            <w:tcW w:w="1134" w:type="dxa"/>
            <w:tcBorders>
              <w:top w:val="single" w:sz="4" w:space="0" w:color="auto"/>
              <w:left w:val="nil"/>
              <w:bottom w:val="single" w:sz="4" w:space="0" w:color="auto"/>
              <w:right w:val="single" w:sz="4" w:space="0" w:color="auto"/>
            </w:tcBorders>
            <w:shd w:val="clear" w:color="D9D9D9" w:fill="E6E6E6"/>
            <w:noWrap/>
            <w:vAlign w:val="center"/>
            <w:hideMark/>
          </w:tcPr>
          <w:p w14:paraId="4057E481" w14:textId="77777777" w:rsidR="00F60576" w:rsidRPr="005D78C4" w:rsidRDefault="00F60576" w:rsidP="00DB66D9">
            <w:pPr>
              <w:spacing w:after="40" w:line="264" w:lineRule="auto"/>
              <w:jc w:val="center"/>
              <w:rPr>
                <w:rFonts w:ascii="Times New Roman" w:eastAsia="Times New Roman" w:hAnsi="Times New Roman" w:cs="Times New Roman"/>
                <w:b/>
                <w:bCs/>
                <w:lang w:eastAsia="bg-BG"/>
              </w:rPr>
            </w:pPr>
            <w:r w:rsidRPr="005D78C4">
              <w:rPr>
                <w:rFonts w:ascii="Times New Roman" w:eastAsia="Times New Roman" w:hAnsi="Times New Roman" w:cs="Times New Roman"/>
                <w:b/>
                <w:bCs/>
                <w:lang w:eastAsia="bg-BG"/>
              </w:rPr>
              <w:t>Отчет</w:t>
            </w:r>
          </w:p>
        </w:tc>
      </w:tr>
      <w:tr w:rsidR="00D22DCA" w:rsidRPr="005D78C4" w14:paraId="18838800" w14:textId="77777777" w:rsidTr="00925B02">
        <w:trPr>
          <w:trHeight w:val="375"/>
        </w:trPr>
        <w:tc>
          <w:tcPr>
            <w:tcW w:w="5887" w:type="dxa"/>
            <w:tcBorders>
              <w:top w:val="nil"/>
              <w:left w:val="single" w:sz="4" w:space="0" w:color="auto"/>
              <w:bottom w:val="single" w:sz="4" w:space="0" w:color="auto"/>
              <w:right w:val="single" w:sz="4" w:space="0" w:color="auto"/>
            </w:tcBorders>
            <w:shd w:val="clear" w:color="D9D9D9" w:fill="E6E6E6"/>
            <w:noWrap/>
            <w:vAlign w:val="bottom"/>
            <w:hideMark/>
          </w:tcPr>
          <w:p w14:paraId="435E29E7" w14:textId="77777777" w:rsidR="00D22DCA" w:rsidRPr="005D78C4" w:rsidRDefault="00D22DCA" w:rsidP="00DB66D9">
            <w:pPr>
              <w:spacing w:after="40" w:line="264" w:lineRule="auto"/>
              <w:jc w:val="both"/>
              <w:rPr>
                <w:rFonts w:ascii="Times New Roman" w:eastAsia="Times New Roman" w:hAnsi="Times New Roman" w:cs="Times New Roman"/>
                <w:b/>
                <w:bCs/>
                <w:lang w:eastAsia="bg-BG"/>
              </w:rPr>
            </w:pPr>
            <w:r w:rsidRPr="005D78C4">
              <w:rPr>
                <w:rFonts w:ascii="Times New Roman" w:eastAsia="Times New Roman" w:hAnsi="Times New Roman" w:cs="Times New Roman"/>
                <w:b/>
                <w:bCs/>
                <w:lang w:eastAsia="bg-BG"/>
              </w:rPr>
              <w:t>Общо консолидирани разходи:</w:t>
            </w:r>
          </w:p>
        </w:tc>
        <w:tc>
          <w:tcPr>
            <w:tcW w:w="1134" w:type="dxa"/>
            <w:tcBorders>
              <w:top w:val="nil"/>
              <w:left w:val="nil"/>
              <w:bottom w:val="single" w:sz="4" w:space="0" w:color="auto"/>
              <w:right w:val="single" w:sz="4" w:space="0" w:color="auto"/>
            </w:tcBorders>
            <w:shd w:val="clear" w:color="D9D9D9" w:fill="E6E6E6"/>
            <w:noWrap/>
            <w:vAlign w:val="bottom"/>
            <w:hideMark/>
          </w:tcPr>
          <w:p w14:paraId="0E7A6D3F" w14:textId="789B0B98" w:rsidR="00D22DCA" w:rsidRPr="005D78C4" w:rsidRDefault="00D22DCA"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7 724 900</w:t>
            </w:r>
          </w:p>
        </w:tc>
        <w:tc>
          <w:tcPr>
            <w:tcW w:w="1134" w:type="dxa"/>
            <w:tcBorders>
              <w:top w:val="nil"/>
              <w:left w:val="nil"/>
              <w:bottom w:val="single" w:sz="4" w:space="0" w:color="auto"/>
              <w:right w:val="single" w:sz="4" w:space="0" w:color="auto"/>
            </w:tcBorders>
            <w:shd w:val="clear" w:color="D9D9D9" w:fill="E6E6E6"/>
            <w:noWrap/>
            <w:vAlign w:val="bottom"/>
            <w:hideMark/>
          </w:tcPr>
          <w:p w14:paraId="09BDB3B3" w14:textId="5479906A" w:rsidR="00D22DCA" w:rsidRPr="005D78C4" w:rsidRDefault="00D22DCA"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7 724 900</w:t>
            </w:r>
          </w:p>
        </w:tc>
        <w:tc>
          <w:tcPr>
            <w:tcW w:w="1134" w:type="dxa"/>
            <w:tcBorders>
              <w:top w:val="nil"/>
              <w:left w:val="nil"/>
              <w:bottom w:val="single" w:sz="4" w:space="0" w:color="auto"/>
              <w:right w:val="single" w:sz="4" w:space="0" w:color="auto"/>
            </w:tcBorders>
            <w:shd w:val="clear" w:color="D9D9D9" w:fill="E6E6E6"/>
            <w:noWrap/>
            <w:vAlign w:val="bottom"/>
            <w:hideMark/>
          </w:tcPr>
          <w:p w14:paraId="4DA39B24" w14:textId="7A064266" w:rsidR="00D22DCA" w:rsidRPr="005D78C4" w:rsidRDefault="00D22DCA"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3 331 624</w:t>
            </w:r>
          </w:p>
        </w:tc>
      </w:tr>
      <w:tr w:rsidR="00D22DCA" w:rsidRPr="005D78C4" w14:paraId="748A45F4" w14:textId="77777777" w:rsidTr="00925B02">
        <w:trPr>
          <w:trHeight w:val="375"/>
        </w:trPr>
        <w:tc>
          <w:tcPr>
            <w:tcW w:w="5887" w:type="dxa"/>
            <w:tcBorders>
              <w:top w:val="nil"/>
              <w:left w:val="single" w:sz="4" w:space="0" w:color="auto"/>
              <w:bottom w:val="single" w:sz="4" w:space="0" w:color="auto"/>
              <w:right w:val="single" w:sz="4" w:space="0" w:color="auto"/>
            </w:tcBorders>
            <w:shd w:val="clear" w:color="D9D9D9" w:fill="E6E6E6"/>
            <w:noWrap/>
            <w:vAlign w:val="bottom"/>
            <w:hideMark/>
          </w:tcPr>
          <w:p w14:paraId="09052C43" w14:textId="77777777" w:rsidR="00D22DCA" w:rsidRPr="005D78C4" w:rsidRDefault="00D22DCA" w:rsidP="00DB66D9">
            <w:pPr>
              <w:spacing w:after="40" w:line="264" w:lineRule="auto"/>
              <w:jc w:val="both"/>
              <w:rPr>
                <w:rFonts w:ascii="Times New Roman" w:eastAsia="Times New Roman" w:hAnsi="Times New Roman" w:cs="Times New Roman"/>
                <w:b/>
                <w:bCs/>
                <w:lang w:eastAsia="bg-BG"/>
              </w:rPr>
            </w:pPr>
            <w:r w:rsidRPr="005D78C4">
              <w:rPr>
                <w:rFonts w:ascii="Times New Roman" w:eastAsia="Times New Roman" w:hAnsi="Times New Roman" w:cs="Times New Roman"/>
                <w:b/>
                <w:bCs/>
                <w:lang w:eastAsia="bg-BG"/>
              </w:rPr>
              <w:t>Общо финансиране:</w:t>
            </w:r>
          </w:p>
        </w:tc>
        <w:tc>
          <w:tcPr>
            <w:tcW w:w="1134" w:type="dxa"/>
            <w:tcBorders>
              <w:top w:val="nil"/>
              <w:left w:val="nil"/>
              <w:bottom w:val="single" w:sz="4" w:space="0" w:color="auto"/>
              <w:right w:val="single" w:sz="4" w:space="0" w:color="auto"/>
            </w:tcBorders>
            <w:shd w:val="clear" w:color="D9D9D9" w:fill="E6E6E6"/>
            <w:noWrap/>
            <w:vAlign w:val="bottom"/>
            <w:hideMark/>
          </w:tcPr>
          <w:p w14:paraId="267FCC06" w14:textId="10AC55F6" w:rsidR="00D22DCA" w:rsidRPr="005D78C4" w:rsidRDefault="00D22DCA"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7 724 900</w:t>
            </w:r>
          </w:p>
        </w:tc>
        <w:tc>
          <w:tcPr>
            <w:tcW w:w="1134" w:type="dxa"/>
            <w:tcBorders>
              <w:top w:val="nil"/>
              <w:left w:val="nil"/>
              <w:bottom w:val="single" w:sz="4" w:space="0" w:color="auto"/>
              <w:right w:val="single" w:sz="4" w:space="0" w:color="auto"/>
            </w:tcBorders>
            <w:shd w:val="clear" w:color="D9D9D9" w:fill="E6E6E6"/>
            <w:noWrap/>
            <w:vAlign w:val="bottom"/>
            <w:hideMark/>
          </w:tcPr>
          <w:p w14:paraId="0FC2D92D" w14:textId="3B6281EF" w:rsidR="00D22DCA" w:rsidRPr="005D78C4" w:rsidRDefault="00D22DCA"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7 724 900</w:t>
            </w:r>
          </w:p>
        </w:tc>
        <w:tc>
          <w:tcPr>
            <w:tcW w:w="1134" w:type="dxa"/>
            <w:tcBorders>
              <w:top w:val="nil"/>
              <w:left w:val="nil"/>
              <w:bottom w:val="single" w:sz="4" w:space="0" w:color="auto"/>
              <w:right w:val="single" w:sz="4" w:space="0" w:color="auto"/>
            </w:tcBorders>
            <w:shd w:val="clear" w:color="D9D9D9" w:fill="E6E6E6"/>
            <w:noWrap/>
            <w:vAlign w:val="bottom"/>
            <w:hideMark/>
          </w:tcPr>
          <w:p w14:paraId="41124267" w14:textId="6626418A" w:rsidR="00D22DCA" w:rsidRPr="005D78C4" w:rsidRDefault="00D22DCA"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3 331 624</w:t>
            </w:r>
          </w:p>
        </w:tc>
      </w:tr>
      <w:tr w:rsidR="00D22DCA" w:rsidRPr="005D78C4" w14:paraId="66DD2408" w14:textId="77777777" w:rsidTr="00925B02">
        <w:trPr>
          <w:trHeight w:val="375"/>
        </w:trPr>
        <w:tc>
          <w:tcPr>
            <w:tcW w:w="5887" w:type="dxa"/>
            <w:tcBorders>
              <w:top w:val="nil"/>
              <w:left w:val="single" w:sz="4" w:space="0" w:color="auto"/>
              <w:bottom w:val="single" w:sz="4" w:space="0" w:color="auto"/>
              <w:right w:val="single" w:sz="4" w:space="0" w:color="auto"/>
            </w:tcBorders>
            <w:shd w:val="clear" w:color="auto" w:fill="auto"/>
            <w:noWrap/>
            <w:vAlign w:val="bottom"/>
            <w:hideMark/>
          </w:tcPr>
          <w:p w14:paraId="77AA87FD" w14:textId="77777777" w:rsidR="00D22DCA" w:rsidRPr="005D78C4" w:rsidRDefault="00D22DCA" w:rsidP="00DB66D9">
            <w:pPr>
              <w:spacing w:after="40" w:line="264" w:lineRule="auto"/>
              <w:jc w:val="both"/>
              <w:rPr>
                <w:rFonts w:ascii="Times New Roman" w:eastAsia="Times New Roman" w:hAnsi="Times New Roman" w:cs="Times New Roman"/>
                <w:b/>
                <w:bCs/>
                <w:lang w:eastAsia="bg-BG"/>
              </w:rPr>
            </w:pPr>
            <w:r w:rsidRPr="005D78C4">
              <w:rPr>
                <w:rFonts w:ascii="Times New Roman" w:eastAsia="Times New Roman" w:hAnsi="Times New Roman" w:cs="Times New Roman"/>
                <w:b/>
                <w:bCs/>
                <w:lang w:eastAsia="bg-BG"/>
              </w:rPr>
              <w:t xml:space="preserve">   От бюджета на ПРБ</w:t>
            </w:r>
          </w:p>
        </w:tc>
        <w:tc>
          <w:tcPr>
            <w:tcW w:w="1134" w:type="dxa"/>
            <w:tcBorders>
              <w:top w:val="nil"/>
              <w:left w:val="nil"/>
              <w:bottom w:val="single" w:sz="4" w:space="0" w:color="auto"/>
              <w:right w:val="single" w:sz="4" w:space="0" w:color="auto"/>
            </w:tcBorders>
            <w:shd w:val="clear" w:color="auto" w:fill="auto"/>
            <w:noWrap/>
            <w:vAlign w:val="bottom"/>
            <w:hideMark/>
          </w:tcPr>
          <w:p w14:paraId="642FF9E8" w14:textId="0E263F29" w:rsidR="00D22DCA" w:rsidRPr="005D78C4" w:rsidRDefault="00D22DCA"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7 724 900</w:t>
            </w:r>
          </w:p>
        </w:tc>
        <w:tc>
          <w:tcPr>
            <w:tcW w:w="1134" w:type="dxa"/>
            <w:tcBorders>
              <w:top w:val="nil"/>
              <w:left w:val="nil"/>
              <w:bottom w:val="single" w:sz="4" w:space="0" w:color="auto"/>
              <w:right w:val="single" w:sz="4" w:space="0" w:color="auto"/>
            </w:tcBorders>
            <w:shd w:val="clear" w:color="auto" w:fill="auto"/>
            <w:noWrap/>
            <w:vAlign w:val="bottom"/>
            <w:hideMark/>
          </w:tcPr>
          <w:p w14:paraId="1F932302" w14:textId="4F310495" w:rsidR="00D22DCA" w:rsidRPr="005D78C4" w:rsidRDefault="00D22DCA"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7 724 900</w:t>
            </w:r>
          </w:p>
        </w:tc>
        <w:tc>
          <w:tcPr>
            <w:tcW w:w="1134" w:type="dxa"/>
            <w:tcBorders>
              <w:top w:val="nil"/>
              <w:left w:val="nil"/>
              <w:bottom w:val="single" w:sz="4" w:space="0" w:color="auto"/>
              <w:right w:val="single" w:sz="4" w:space="0" w:color="auto"/>
            </w:tcBorders>
            <w:shd w:val="clear" w:color="auto" w:fill="auto"/>
            <w:noWrap/>
            <w:vAlign w:val="bottom"/>
            <w:hideMark/>
          </w:tcPr>
          <w:p w14:paraId="6AB2C284" w14:textId="315704DA" w:rsidR="00D22DCA" w:rsidRPr="005D78C4" w:rsidRDefault="00D22DCA"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3 331 624</w:t>
            </w:r>
          </w:p>
        </w:tc>
      </w:tr>
      <w:tr w:rsidR="00D22DCA" w:rsidRPr="005D78C4" w14:paraId="03684378" w14:textId="77777777" w:rsidTr="00925B02">
        <w:trPr>
          <w:trHeight w:val="375"/>
        </w:trPr>
        <w:tc>
          <w:tcPr>
            <w:tcW w:w="5887" w:type="dxa"/>
            <w:tcBorders>
              <w:top w:val="nil"/>
              <w:left w:val="single" w:sz="4" w:space="0" w:color="auto"/>
              <w:bottom w:val="single" w:sz="4" w:space="0" w:color="auto"/>
              <w:right w:val="single" w:sz="4" w:space="0" w:color="auto"/>
            </w:tcBorders>
            <w:shd w:val="clear" w:color="auto" w:fill="auto"/>
            <w:noWrap/>
            <w:vAlign w:val="bottom"/>
            <w:hideMark/>
          </w:tcPr>
          <w:p w14:paraId="4CBC3E31" w14:textId="77777777" w:rsidR="00F60576" w:rsidRPr="005D78C4" w:rsidRDefault="00F60576" w:rsidP="00DB66D9">
            <w:pPr>
              <w:spacing w:after="40" w:line="264" w:lineRule="auto"/>
              <w:jc w:val="both"/>
              <w:rPr>
                <w:rFonts w:ascii="Times New Roman" w:eastAsia="Times New Roman" w:hAnsi="Times New Roman" w:cs="Times New Roman"/>
                <w:b/>
                <w:bCs/>
                <w:lang w:eastAsia="bg-BG"/>
              </w:rPr>
            </w:pPr>
            <w:r w:rsidRPr="005D78C4">
              <w:rPr>
                <w:rFonts w:ascii="Times New Roman" w:eastAsia="Times New Roman" w:hAnsi="Times New Roman" w:cs="Times New Roman"/>
                <w:b/>
                <w:bCs/>
                <w:lang w:eastAsia="bg-BG"/>
              </w:rPr>
              <w:t xml:space="preserve">   От други бюджети и сметки за средства от ЕС, в т.ч. от:</w:t>
            </w:r>
          </w:p>
        </w:tc>
        <w:tc>
          <w:tcPr>
            <w:tcW w:w="1134" w:type="dxa"/>
            <w:tcBorders>
              <w:top w:val="nil"/>
              <w:left w:val="nil"/>
              <w:bottom w:val="single" w:sz="4" w:space="0" w:color="auto"/>
              <w:right w:val="single" w:sz="4" w:space="0" w:color="auto"/>
            </w:tcBorders>
            <w:shd w:val="clear" w:color="auto" w:fill="auto"/>
            <w:noWrap/>
            <w:vAlign w:val="bottom"/>
            <w:hideMark/>
          </w:tcPr>
          <w:p w14:paraId="6CAABE3B" w14:textId="77777777" w:rsidR="00F60576" w:rsidRPr="005D78C4" w:rsidRDefault="00F60576" w:rsidP="00DB66D9">
            <w:pPr>
              <w:spacing w:after="40" w:line="264" w:lineRule="auto"/>
              <w:ind w:right="67"/>
              <w:jc w:val="right"/>
              <w:rPr>
                <w:rFonts w:ascii="Times New Roman" w:eastAsia="Times New Roman" w:hAnsi="Times New Roman" w:cs="Times New Roman"/>
                <w:b/>
                <w:lang w:val="en-US" w:eastAsia="bg-BG"/>
              </w:rPr>
            </w:pPr>
            <w:r w:rsidRPr="005D78C4">
              <w:rPr>
                <w:rFonts w:ascii="Times New Roman" w:eastAsia="Times New Roman" w:hAnsi="Times New Roman" w:cs="Times New Roman"/>
                <w:b/>
                <w:lang w:val="en-US" w:eastAsia="bg-BG"/>
              </w:rPr>
              <w:t xml:space="preserve">0 </w:t>
            </w:r>
          </w:p>
        </w:tc>
        <w:tc>
          <w:tcPr>
            <w:tcW w:w="1134" w:type="dxa"/>
            <w:tcBorders>
              <w:top w:val="nil"/>
              <w:left w:val="nil"/>
              <w:bottom w:val="single" w:sz="4" w:space="0" w:color="auto"/>
              <w:right w:val="single" w:sz="4" w:space="0" w:color="auto"/>
            </w:tcBorders>
            <w:shd w:val="clear" w:color="auto" w:fill="auto"/>
            <w:noWrap/>
            <w:vAlign w:val="bottom"/>
            <w:hideMark/>
          </w:tcPr>
          <w:p w14:paraId="6D50D4DE" w14:textId="77777777" w:rsidR="00F60576" w:rsidRPr="005D78C4" w:rsidRDefault="00F60576" w:rsidP="00DB66D9">
            <w:pPr>
              <w:spacing w:after="40" w:line="264" w:lineRule="auto"/>
              <w:ind w:right="73"/>
              <w:jc w:val="right"/>
              <w:rPr>
                <w:rFonts w:ascii="Times New Roman" w:eastAsia="Times New Roman" w:hAnsi="Times New Roman" w:cs="Times New Roman"/>
                <w:b/>
                <w:lang w:val="en-US" w:eastAsia="bg-BG"/>
              </w:rPr>
            </w:pPr>
            <w:r w:rsidRPr="005D78C4">
              <w:rPr>
                <w:rFonts w:ascii="Times New Roman" w:eastAsia="Times New Roman" w:hAnsi="Times New Roman" w:cs="Times New Roman"/>
                <w:b/>
                <w:lang w:eastAsia="bg-BG"/>
              </w:rPr>
              <w:t> </w:t>
            </w:r>
            <w:r w:rsidRPr="005D78C4">
              <w:rPr>
                <w:rFonts w:ascii="Times New Roman" w:eastAsia="Times New Roman" w:hAnsi="Times New Roman" w:cs="Times New Roman"/>
                <w:b/>
                <w:lang w:val="en-US" w:eastAsia="bg-BG"/>
              </w:rPr>
              <w:t>0</w:t>
            </w:r>
          </w:p>
        </w:tc>
        <w:tc>
          <w:tcPr>
            <w:tcW w:w="1134" w:type="dxa"/>
            <w:tcBorders>
              <w:top w:val="nil"/>
              <w:left w:val="nil"/>
              <w:bottom w:val="single" w:sz="4" w:space="0" w:color="auto"/>
              <w:right w:val="single" w:sz="4" w:space="0" w:color="auto"/>
            </w:tcBorders>
            <w:shd w:val="clear" w:color="auto" w:fill="auto"/>
            <w:noWrap/>
            <w:vAlign w:val="bottom"/>
            <w:hideMark/>
          </w:tcPr>
          <w:p w14:paraId="5103372B" w14:textId="345DC5E5" w:rsidR="00F60576" w:rsidRPr="005D78C4" w:rsidRDefault="00F60576" w:rsidP="00DB66D9">
            <w:pPr>
              <w:spacing w:after="40" w:line="264" w:lineRule="auto"/>
              <w:ind w:right="80"/>
              <w:jc w:val="right"/>
              <w:rPr>
                <w:rFonts w:ascii="Times New Roman" w:eastAsia="Times New Roman" w:hAnsi="Times New Roman" w:cs="Times New Roman"/>
                <w:lang w:val="en-US" w:eastAsia="bg-BG"/>
              </w:rPr>
            </w:pPr>
            <w:r w:rsidRPr="005D78C4">
              <w:rPr>
                <w:rFonts w:ascii="Times New Roman" w:eastAsia="Times New Roman" w:hAnsi="Times New Roman" w:cs="Times New Roman"/>
                <w:lang w:eastAsia="bg-BG"/>
              </w:rPr>
              <w:t> </w:t>
            </w:r>
            <w:r w:rsidR="00321701" w:rsidRPr="005D78C4">
              <w:rPr>
                <w:rFonts w:ascii="Times New Roman" w:eastAsia="Times New Roman" w:hAnsi="Times New Roman" w:cs="Times New Roman"/>
                <w:lang w:eastAsia="bg-BG"/>
              </w:rPr>
              <w:t>0</w:t>
            </w:r>
          </w:p>
        </w:tc>
      </w:tr>
      <w:tr w:rsidR="00D22DCA" w:rsidRPr="005D78C4" w14:paraId="22DD6411" w14:textId="77777777" w:rsidTr="00925B02">
        <w:trPr>
          <w:trHeight w:val="246"/>
        </w:trPr>
        <w:tc>
          <w:tcPr>
            <w:tcW w:w="5887" w:type="dxa"/>
            <w:tcBorders>
              <w:top w:val="nil"/>
              <w:left w:val="single" w:sz="4" w:space="0" w:color="auto"/>
              <w:bottom w:val="single" w:sz="4" w:space="0" w:color="auto"/>
              <w:right w:val="single" w:sz="4" w:space="0" w:color="auto"/>
            </w:tcBorders>
            <w:shd w:val="clear" w:color="auto" w:fill="auto"/>
            <w:noWrap/>
            <w:vAlign w:val="bottom"/>
            <w:hideMark/>
          </w:tcPr>
          <w:p w14:paraId="51F0F3B6" w14:textId="77777777" w:rsidR="00F60576" w:rsidRPr="005D78C4" w:rsidRDefault="00F60576" w:rsidP="00DB66D9">
            <w:pPr>
              <w:spacing w:after="40" w:line="264" w:lineRule="auto"/>
              <w:ind w:firstLineChars="300" w:firstLine="660"/>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Централен бюджет, в т.ч.:</w:t>
            </w:r>
          </w:p>
        </w:tc>
        <w:tc>
          <w:tcPr>
            <w:tcW w:w="1134" w:type="dxa"/>
            <w:tcBorders>
              <w:top w:val="nil"/>
              <w:left w:val="nil"/>
              <w:bottom w:val="single" w:sz="4" w:space="0" w:color="auto"/>
              <w:right w:val="single" w:sz="4" w:space="0" w:color="auto"/>
            </w:tcBorders>
            <w:shd w:val="clear" w:color="auto" w:fill="auto"/>
            <w:noWrap/>
            <w:vAlign w:val="bottom"/>
            <w:hideMark/>
          </w:tcPr>
          <w:p w14:paraId="23C271E6" w14:textId="77777777" w:rsidR="00F60576" w:rsidRPr="005D78C4" w:rsidRDefault="00F60576"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val="en-US" w:eastAsia="bg-BG"/>
              </w:rPr>
              <w:t xml:space="preserve"> 0</w:t>
            </w:r>
            <w:r w:rsidRPr="005D78C4">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9843CB" w14:textId="77777777" w:rsidR="00F60576" w:rsidRPr="005D78C4" w:rsidRDefault="00F60576"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val="en-US" w:eastAsia="bg-BG"/>
              </w:rPr>
              <w:t>0</w:t>
            </w:r>
            <w:r w:rsidRPr="005D78C4">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6DA846" w14:textId="77777777" w:rsidR="00F60576" w:rsidRPr="005D78C4" w:rsidRDefault="00F60576"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val="en-US" w:eastAsia="bg-BG"/>
              </w:rPr>
              <w:t>0</w:t>
            </w:r>
            <w:r w:rsidRPr="005D78C4">
              <w:rPr>
                <w:rFonts w:ascii="Times New Roman" w:eastAsia="Times New Roman" w:hAnsi="Times New Roman" w:cs="Times New Roman"/>
                <w:lang w:eastAsia="bg-BG"/>
              </w:rPr>
              <w:t> </w:t>
            </w:r>
          </w:p>
        </w:tc>
      </w:tr>
      <w:tr w:rsidR="00D22DCA" w:rsidRPr="005D78C4" w14:paraId="1C5B6544" w14:textId="77777777" w:rsidTr="00925B02">
        <w:trPr>
          <w:trHeight w:val="263"/>
        </w:trPr>
        <w:tc>
          <w:tcPr>
            <w:tcW w:w="5887" w:type="dxa"/>
            <w:tcBorders>
              <w:top w:val="nil"/>
              <w:left w:val="single" w:sz="4" w:space="0" w:color="auto"/>
              <w:bottom w:val="single" w:sz="4" w:space="0" w:color="auto"/>
              <w:right w:val="single" w:sz="4" w:space="0" w:color="auto"/>
            </w:tcBorders>
            <w:shd w:val="clear" w:color="auto" w:fill="auto"/>
            <w:noWrap/>
            <w:vAlign w:val="bottom"/>
            <w:hideMark/>
          </w:tcPr>
          <w:p w14:paraId="2254A38A" w14:textId="77777777" w:rsidR="00F60576" w:rsidRPr="005D78C4" w:rsidRDefault="00F60576" w:rsidP="00DB66D9">
            <w:pPr>
              <w:spacing w:after="40" w:line="264" w:lineRule="auto"/>
              <w:ind w:firstLineChars="300" w:firstLine="660"/>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 xml:space="preserve">     Държавни инвестиционни заеми</w:t>
            </w:r>
          </w:p>
        </w:tc>
        <w:tc>
          <w:tcPr>
            <w:tcW w:w="1134" w:type="dxa"/>
            <w:tcBorders>
              <w:top w:val="nil"/>
              <w:left w:val="nil"/>
              <w:bottom w:val="single" w:sz="4" w:space="0" w:color="auto"/>
              <w:right w:val="single" w:sz="4" w:space="0" w:color="auto"/>
            </w:tcBorders>
            <w:shd w:val="clear" w:color="auto" w:fill="auto"/>
            <w:noWrap/>
            <w:vAlign w:val="bottom"/>
            <w:hideMark/>
          </w:tcPr>
          <w:p w14:paraId="2412A3ED" w14:textId="77777777" w:rsidR="00F60576" w:rsidRPr="005D78C4" w:rsidRDefault="00F60576"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val="en-US" w:eastAsia="bg-BG"/>
              </w:rPr>
              <w:t>0</w:t>
            </w:r>
            <w:r w:rsidRPr="005D78C4">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auto" w:fill="auto"/>
            <w:noWrap/>
            <w:vAlign w:val="bottom"/>
            <w:hideMark/>
          </w:tcPr>
          <w:p w14:paraId="7A2776D0" w14:textId="77777777" w:rsidR="00F60576" w:rsidRPr="005D78C4" w:rsidRDefault="00F60576"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val="en-US" w:eastAsia="bg-BG"/>
              </w:rPr>
              <w:t>0</w:t>
            </w:r>
            <w:r w:rsidRPr="005D78C4">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auto" w:fill="auto"/>
            <w:noWrap/>
            <w:vAlign w:val="bottom"/>
            <w:hideMark/>
          </w:tcPr>
          <w:p w14:paraId="570600D9" w14:textId="77777777" w:rsidR="00F60576" w:rsidRPr="005D78C4" w:rsidRDefault="00F60576"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val="en-US" w:eastAsia="bg-BG"/>
              </w:rPr>
              <w:t>0</w:t>
            </w:r>
            <w:r w:rsidRPr="005D78C4">
              <w:rPr>
                <w:rFonts w:ascii="Times New Roman" w:eastAsia="Times New Roman" w:hAnsi="Times New Roman" w:cs="Times New Roman"/>
                <w:lang w:eastAsia="bg-BG"/>
              </w:rPr>
              <w:t> </w:t>
            </w:r>
          </w:p>
        </w:tc>
      </w:tr>
      <w:tr w:rsidR="00D22DCA" w:rsidRPr="005D78C4" w14:paraId="0DD133D8" w14:textId="77777777" w:rsidTr="00925B02">
        <w:trPr>
          <w:trHeight w:val="265"/>
        </w:trPr>
        <w:tc>
          <w:tcPr>
            <w:tcW w:w="5887" w:type="dxa"/>
            <w:tcBorders>
              <w:top w:val="nil"/>
              <w:left w:val="single" w:sz="4" w:space="0" w:color="auto"/>
              <w:bottom w:val="single" w:sz="4" w:space="0" w:color="auto"/>
              <w:right w:val="single" w:sz="4" w:space="0" w:color="auto"/>
            </w:tcBorders>
            <w:shd w:val="clear" w:color="auto" w:fill="auto"/>
            <w:noWrap/>
            <w:vAlign w:val="bottom"/>
            <w:hideMark/>
          </w:tcPr>
          <w:p w14:paraId="7948B2C6" w14:textId="77777777" w:rsidR="00F60576" w:rsidRPr="005D78C4" w:rsidRDefault="00F60576" w:rsidP="00DB66D9">
            <w:pPr>
              <w:spacing w:after="40" w:line="264" w:lineRule="auto"/>
              <w:ind w:firstLineChars="300" w:firstLine="660"/>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Сметки за средства от ЕС (ССЕС на НФ и на ДФЗ)</w:t>
            </w:r>
          </w:p>
        </w:tc>
        <w:tc>
          <w:tcPr>
            <w:tcW w:w="1134" w:type="dxa"/>
            <w:tcBorders>
              <w:top w:val="nil"/>
              <w:left w:val="nil"/>
              <w:bottom w:val="single" w:sz="4" w:space="0" w:color="auto"/>
              <w:right w:val="single" w:sz="4" w:space="0" w:color="auto"/>
            </w:tcBorders>
            <w:shd w:val="clear" w:color="auto" w:fill="auto"/>
            <w:noWrap/>
            <w:vAlign w:val="bottom"/>
            <w:hideMark/>
          </w:tcPr>
          <w:p w14:paraId="74FF444C" w14:textId="77777777" w:rsidR="00F60576" w:rsidRPr="005D78C4" w:rsidRDefault="00F60576"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val="en-US" w:eastAsia="bg-BG"/>
              </w:rPr>
              <w:t>0</w:t>
            </w:r>
            <w:r w:rsidRPr="005D78C4">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EC06E0" w14:textId="77777777" w:rsidR="00F60576" w:rsidRPr="005D78C4" w:rsidRDefault="00F60576"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val="en-US" w:eastAsia="bg-BG"/>
              </w:rPr>
              <w:t>0</w:t>
            </w:r>
            <w:r w:rsidRPr="005D78C4">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auto" w:fill="auto"/>
            <w:noWrap/>
            <w:vAlign w:val="bottom"/>
            <w:hideMark/>
          </w:tcPr>
          <w:p w14:paraId="1CD0B58A" w14:textId="68D21BFC" w:rsidR="00F60576" w:rsidRPr="005D78C4" w:rsidRDefault="00321701"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0</w:t>
            </w:r>
            <w:r w:rsidR="00F60576" w:rsidRPr="005D78C4">
              <w:rPr>
                <w:rFonts w:ascii="Times New Roman" w:eastAsia="Times New Roman" w:hAnsi="Times New Roman" w:cs="Times New Roman"/>
                <w:lang w:eastAsia="bg-BG"/>
              </w:rPr>
              <w:t> </w:t>
            </w:r>
          </w:p>
        </w:tc>
      </w:tr>
      <w:tr w:rsidR="00D22DCA" w:rsidRPr="005D78C4" w14:paraId="6B4BABE8" w14:textId="77777777" w:rsidTr="00925B02">
        <w:trPr>
          <w:trHeight w:val="375"/>
        </w:trPr>
        <w:tc>
          <w:tcPr>
            <w:tcW w:w="5887" w:type="dxa"/>
            <w:tcBorders>
              <w:top w:val="nil"/>
              <w:left w:val="single" w:sz="4" w:space="0" w:color="auto"/>
              <w:bottom w:val="single" w:sz="4" w:space="0" w:color="auto"/>
              <w:right w:val="single" w:sz="4" w:space="0" w:color="auto"/>
            </w:tcBorders>
            <w:shd w:val="clear" w:color="auto" w:fill="auto"/>
            <w:noWrap/>
            <w:vAlign w:val="bottom"/>
            <w:hideMark/>
          </w:tcPr>
          <w:p w14:paraId="2DBEAE9A" w14:textId="77777777" w:rsidR="00F60576" w:rsidRPr="005D78C4" w:rsidRDefault="00F60576" w:rsidP="00DB66D9">
            <w:pPr>
              <w:spacing w:after="40" w:line="264" w:lineRule="auto"/>
              <w:ind w:firstLineChars="300" w:firstLine="660"/>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Други програми и инициативи, по които Република България е страна-партньор</w:t>
            </w:r>
          </w:p>
        </w:tc>
        <w:tc>
          <w:tcPr>
            <w:tcW w:w="1134" w:type="dxa"/>
            <w:tcBorders>
              <w:top w:val="nil"/>
              <w:left w:val="nil"/>
              <w:bottom w:val="single" w:sz="4" w:space="0" w:color="auto"/>
              <w:right w:val="single" w:sz="4" w:space="0" w:color="auto"/>
            </w:tcBorders>
            <w:shd w:val="clear" w:color="auto" w:fill="auto"/>
            <w:noWrap/>
            <w:vAlign w:val="bottom"/>
            <w:hideMark/>
          </w:tcPr>
          <w:p w14:paraId="073D0837" w14:textId="77777777" w:rsidR="00F60576" w:rsidRPr="005D78C4" w:rsidRDefault="00F60576"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val="en-US" w:eastAsia="bg-BG"/>
              </w:rPr>
              <w:t>0</w:t>
            </w:r>
            <w:r w:rsidRPr="005D78C4">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70D748" w14:textId="77777777" w:rsidR="00F60576" w:rsidRPr="005D78C4" w:rsidRDefault="00F60576"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val="en-US" w:eastAsia="bg-BG"/>
              </w:rPr>
              <w:t>0</w:t>
            </w:r>
            <w:r w:rsidRPr="005D78C4">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auto" w:fill="auto"/>
            <w:noWrap/>
            <w:vAlign w:val="bottom"/>
            <w:hideMark/>
          </w:tcPr>
          <w:p w14:paraId="42FFD2ED" w14:textId="77777777" w:rsidR="00F60576" w:rsidRPr="005D78C4" w:rsidRDefault="00F60576"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val="en-US" w:eastAsia="bg-BG"/>
              </w:rPr>
              <w:t>0</w:t>
            </w:r>
            <w:r w:rsidRPr="005D78C4">
              <w:rPr>
                <w:rFonts w:ascii="Times New Roman" w:eastAsia="Times New Roman" w:hAnsi="Times New Roman" w:cs="Times New Roman"/>
                <w:lang w:eastAsia="bg-BG"/>
              </w:rPr>
              <w:t> </w:t>
            </w:r>
          </w:p>
        </w:tc>
      </w:tr>
      <w:tr w:rsidR="00D22DCA" w:rsidRPr="005D78C4" w14:paraId="5752D86F" w14:textId="77777777" w:rsidTr="00925B02">
        <w:trPr>
          <w:trHeight w:val="192"/>
        </w:trPr>
        <w:tc>
          <w:tcPr>
            <w:tcW w:w="5887" w:type="dxa"/>
            <w:tcBorders>
              <w:top w:val="nil"/>
              <w:left w:val="single" w:sz="4" w:space="0" w:color="auto"/>
              <w:bottom w:val="single" w:sz="4" w:space="0" w:color="auto"/>
              <w:right w:val="single" w:sz="4" w:space="0" w:color="auto"/>
            </w:tcBorders>
            <w:shd w:val="clear" w:color="auto" w:fill="auto"/>
            <w:noWrap/>
            <w:vAlign w:val="bottom"/>
            <w:hideMark/>
          </w:tcPr>
          <w:p w14:paraId="510ECD01" w14:textId="77777777" w:rsidR="00F60576" w:rsidRPr="005D78C4" w:rsidRDefault="00F60576" w:rsidP="00DB66D9">
            <w:pPr>
              <w:spacing w:after="40" w:line="264" w:lineRule="auto"/>
              <w:ind w:firstLineChars="300" w:firstLine="660"/>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Други програми и други донори по бюджета на ПРБ</w:t>
            </w:r>
          </w:p>
        </w:tc>
        <w:tc>
          <w:tcPr>
            <w:tcW w:w="1134" w:type="dxa"/>
            <w:tcBorders>
              <w:top w:val="nil"/>
              <w:left w:val="nil"/>
              <w:bottom w:val="single" w:sz="4" w:space="0" w:color="auto"/>
              <w:right w:val="single" w:sz="4" w:space="0" w:color="auto"/>
            </w:tcBorders>
            <w:shd w:val="clear" w:color="auto" w:fill="auto"/>
            <w:noWrap/>
            <w:vAlign w:val="bottom"/>
            <w:hideMark/>
          </w:tcPr>
          <w:p w14:paraId="3FDB8497" w14:textId="77777777" w:rsidR="00F60576" w:rsidRPr="005D78C4" w:rsidRDefault="00F60576"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val="en-US" w:eastAsia="bg-BG"/>
              </w:rPr>
              <w:t>0</w:t>
            </w:r>
            <w:r w:rsidRPr="005D78C4">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7A7DE7" w14:textId="77777777" w:rsidR="00F60576" w:rsidRPr="005D78C4" w:rsidRDefault="00F60576"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val="en-US" w:eastAsia="bg-BG"/>
              </w:rPr>
              <w:t>0</w:t>
            </w:r>
            <w:r w:rsidRPr="005D78C4">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3CFA15" w14:textId="77777777" w:rsidR="00F60576" w:rsidRPr="005D78C4" w:rsidRDefault="00F60576"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val="en-US" w:eastAsia="bg-BG"/>
              </w:rPr>
              <w:t>0</w:t>
            </w:r>
            <w:r w:rsidRPr="005D78C4">
              <w:rPr>
                <w:rFonts w:ascii="Times New Roman" w:eastAsia="Times New Roman" w:hAnsi="Times New Roman" w:cs="Times New Roman"/>
                <w:lang w:eastAsia="bg-BG"/>
              </w:rPr>
              <w:t> </w:t>
            </w:r>
          </w:p>
        </w:tc>
      </w:tr>
      <w:tr w:rsidR="00D22DCA" w:rsidRPr="005D78C4" w14:paraId="2B924F66" w14:textId="77777777" w:rsidTr="00925B02">
        <w:trPr>
          <w:trHeight w:val="375"/>
        </w:trPr>
        <w:tc>
          <w:tcPr>
            <w:tcW w:w="5887" w:type="dxa"/>
            <w:tcBorders>
              <w:top w:val="nil"/>
              <w:left w:val="single" w:sz="4" w:space="0" w:color="auto"/>
              <w:bottom w:val="single" w:sz="4" w:space="0" w:color="auto"/>
              <w:right w:val="single" w:sz="4" w:space="0" w:color="auto"/>
            </w:tcBorders>
            <w:shd w:val="clear" w:color="auto" w:fill="auto"/>
            <w:noWrap/>
            <w:vAlign w:val="bottom"/>
            <w:hideMark/>
          </w:tcPr>
          <w:p w14:paraId="20460E3E" w14:textId="77777777" w:rsidR="00F60576" w:rsidRPr="005D78C4" w:rsidRDefault="00F60576" w:rsidP="00DB66D9">
            <w:pPr>
              <w:spacing w:after="40" w:line="264" w:lineRule="auto"/>
              <w:ind w:firstLineChars="300" w:firstLine="660"/>
              <w:rPr>
                <w:rFonts w:ascii="Times New Roman" w:eastAsia="Times New Roman" w:hAnsi="Times New Roman" w:cs="Times New Roman"/>
                <w:lang w:eastAsia="bg-BG"/>
              </w:rPr>
            </w:pPr>
            <w:r w:rsidRPr="005D78C4">
              <w:rPr>
                <w:rFonts w:ascii="Times New Roman" w:eastAsia="Times New Roman" w:hAnsi="Times New Roman" w:cs="Times New Roman"/>
                <w:lang w:eastAsia="bg-BG"/>
              </w:rPr>
              <w:t>Други бюджетни организации, включени в консолидираната фискална програма</w:t>
            </w:r>
          </w:p>
        </w:tc>
        <w:tc>
          <w:tcPr>
            <w:tcW w:w="1134" w:type="dxa"/>
            <w:tcBorders>
              <w:top w:val="nil"/>
              <w:left w:val="nil"/>
              <w:bottom w:val="single" w:sz="4" w:space="0" w:color="auto"/>
              <w:right w:val="single" w:sz="4" w:space="0" w:color="auto"/>
            </w:tcBorders>
            <w:shd w:val="clear" w:color="auto" w:fill="auto"/>
            <w:noWrap/>
            <w:vAlign w:val="bottom"/>
            <w:hideMark/>
          </w:tcPr>
          <w:p w14:paraId="3A9D13ED" w14:textId="77777777" w:rsidR="00F60576" w:rsidRPr="005D78C4" w:rsidRDefault="00F60576" w:rsidP="00DB66D9">
            <w:pPr>
              <w:spacing w:after="40" w:line="264" w:lineRule="auto"/>
              <w:jc w:val="right"/>
              <w:rPr>
                <w:rFonts w:ascii="Times New Roman" w:eastAsia="Times New Roman" w:hAnsi="Times New Roman" w:cs="Times New Roman"/>
                <w:lang w:val="en-US" w:eastAsia="bg-BG"/>
              </w:rPr>
            </w:pPr>
            <w:r w:rsidRPr="005D78C4">
              <w:rPr>
                <w:rFonts w:ascii="Times New Roman" w:eastAsia="Times New Roman" w:hAnsi="Times New Roman" w:cs="Times New Roman"/>
                <w:lang w:eastAsia="bg-BG"/>
              </w:rPr>
              <w:t> </w:t>
            </w:r>
            <w:r w:rsidRPr="005D78C4">
              <w:rPr>
                <w:rFonts w:ascii="Times New Roman" w:eastAsia="Times New Roman" w:hAnsi="Times New Roman" w:cs="Times New Roman"/>
                <w:lang w:val="en-US" w:eastAsia="bg-BG"/>
              </w:rPr>
              <w:t>0</w:t>
            </w:r>
          </w:p>
        </w:tc>
        <w:tc>
          <w:tcPr>
            <w:tcW w:w="1134" w:type="dxa"/>
            <w:tcBorders>
              <w:top w:val="nil"/>
              <w:left w:val="nil"/>
              <w:bottom w:val="single" w:sz="4" w:space="0" w:color="auto"/>
              <w:right w:val="single" w:sz="4" w:space="0" w:color="auto"/>
            </w:tcBorders>
            <w:shd w:val="clear" w:color="auto" w:fill="auto"/>
            <w:noWrap/>
            <w:vAlign w:val="bottom"/>
            <w:hideMark/>
          </w:tcPr>
          <w:p w14:paraId="371235CD" w14:textId="77777777" w:rsidR="00F60576" w:rsidRPr="005D78C4" w:rsidRDefault="00F60576"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val="en-US" w:eastAsia="bg-BG"/>
              </w:rPr>
              <w:t>0</w:t>
            </w:r>
            <w:r w:rsidRPr="005D78C4">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auto" w:fill="auto"/>
            <w:noWrap/>
            <w:vAlign w:val="bottom"/>
            <w:hideMark/>
          </w:tcPr>
          <w:p w14:paraId="50A6D6FC" w14:textId="77777777" w:rsidR="00F60576" w:rsidRPr="005D78C4" w:rsidRDefault="00F60576" w:rsidP="00DB66D9">
            <w:pPr>
              <w:spacing w:after="40" w:line="264" w:lineRule="auto"/>
              <w:jc w:val="right"/>
              <w:rPr>
                <w:rFonts w:ascii="Times New Roman" w:eastAsia="Times New Roman" w:hAnsi="Times New Roman" w:cs="Times New Roman"/>
                <w:lang w:eastAsia="bg-BG"/>
              </w:rPr>
            </w:pPr>
            <w:r w:rsidRPr="005D78C4">
              <w:rPr>
                <w:rFonts w:ascii="Times New Roman" w:eastAsia="Times New Roman" w:hAnsi="Times New Roman" w:cs="Times New Roman"/>
                <w:lang w:val="en-US" w:eastAsia="bg-BG"/>
              </w:rPr>
              <w:t>0</w:t>
            </w:r>
            <w:r w:rsidRPr="005D78C4">
              <w:rPr>
                <w:rFonts w:ascii="Times New Roman" w:eastAsia="Times New Roman" w:hAnsi="Times New Roman" w:cs="Times New Roman"/>
                <w:lang w:eastAsia="bg-BG"/>
              </w:rPr>
              <w:t> </w:t>
            </w:r>
          </w:p>
        </w:tc>
      </w:tr>
    </w:tbl>
    <w:p w14:paraId="51A97BC9" w14:textId="77777777" w:rsidR="00273BBA" w:rsidRPr="005D78C4" w:rsidRDefault="00273BBA" w:rsidP="00DB66D9">
      <w:pPr>
        <w:pStyle w:val="ListParagraph"/>
        <w:spacing w:after="40" w:line="264" w:lineRule="auto"/>
        <w:ind w:left="1069"/>
        <w:rPr>
          <w:b/>
          <w:bCs/>
          <w:i/>
        </w:rPr>
      </w:pPr>
    </w:p>
    <w:p w14:paraId="34BA1A50" w14:textId="254E420B" w:rsidR="00C233D6" w:rsidRPr="005D78C4" w:rsidRDefault="00AB3CB6" w:rsidP="00DB66D9">
      <w:pPr>
        <w:pStyle w:val="BodyText"/>
        <w:widowControl w:val="0"/>
        <w:spacing w:after="40" w:line="264" w:lineRule="auto"/>
        <w:ind w:left="567" w:hanging="567"/>
        <w:rPr>
          <w:b/>
          <w:sz w:val="24"/>
          <w:lang w:val="bg-BG"/>
        </w:rPr>
      </w:pPr>
      <w:r w:rsidRPr="005D78C4">
        <w:rPr>
          <w:b/>
          <w:sz w:val="24"/>
          <w:lang w:val="bg-BG"/>
        </w:rPr>
        <w:t>III. ПРЕГЛЕД НА НАСТЪПИЛИТЕ ПРОМЕНИ В ОРГАНИЗАЦИОННАТА  СТРУКТУРА</w:t>
      </w:r>
    </w:p>
    <w:p w14:paraId="62903D49" w14:textId="6BDE5F31" w:rsidR="00AB3CB6" w:rsidRPr="005D78C4" w:rsidRDefault="00AB3CB6" w:rsidP="00DB66D9">
      <w:pPr>
        <w:spacing w:after="40" w:line="264" w:lineRule="auto"/>
        <w:ind w:firstLine="567"/>
        <w:jc w:val="both"/>
        <w:rPr>
          <w:rFonts w:ascii="Times New Roman" w:hAnsi="Times New Roman" w:cs="Times New Roman"/>
          <w:sz w:val="24"/>
          <w:szCs w:val="24"/>
        </w:rPr>
      </w:pPr>
      <w:r w:rsidRPr="005D78C4">
        <w:rPr>
          <w:rFonts w:ascii="Times New Roman" w:hAnsi="Times New Roman" w:cs="Times New Roman"/>
          <w:sz w:val="24"/>
          <w:szCs w:val="24"/>
        </w:rPr>
        <w:t xml:space="preserve">Организационната структура и числеността на администрацията са регламентирани в Устройствения правилник на Комисията. В общата численост – 117 щатни бройки, се включват: председател, заместник-председател, петима членове на Комисията, главен секретар, служител по сигурността на информацията, обща администрация – 23 бр. и специализирана администрация – 85 бр., като </w:t>
      </w:r>
      <w:r w:rsidR="00012B0D" w:rsidRPr="005D78C4">
        <w:rPr>
          <w:rFonts w:ascii="Times New Roman" w:hAnsi="Times New Roman" w:cs="Times New Roman"/>
          <w:sz w:val="24"/>
          <w:szCs w:val="24"/>
        </w:rPr>
        <w:t xml:space="preserve">през </w:t>
      </w:r>
      <w:r w:rsidRPr="005D78C4">
        <w:rPr>
          <w:rFonts w:ascii="Times New Roman" w:hAnsi="Times New Roman" w:cs="Times New Roman"/>
          <w:sz w:val="24"/>
          <w:szCs w:val="24"/>
        </w:rPr>
        <w:t xml:space="preserve">отчетния период няма настъпили промени. </w:t>
      </w:r>
    </w:p>
    <w:p w14:paraId="73690067" w14:textId="7D9F5986" w:rsidR="00403818" w:rsidRPr="005D78C4" w:rsidRDefault="00403818" w:rsidP="00DB66D9">
      <w:pPr>
        <w:spacing w:after="40" w:line="264" w:lineRule="auto"/>
        <w:ind w:firstLine="709"/>
        <w:jc w:val="both"/>
        <w:rPr>
          <w:rFonts w:ascii="Times New Roman" w:hAnsi="Times New Roman" w:cs="Times New Roman"/>
          <w:sz w:val="24"/>
          <w:szCs w:val="24"/>
        </w:rPr>
      </w:pPr>
    </w:p>
    <w:p w14:paraId="672390AE" w14:textId="021BE5B7" w:rsidR="002036C0" w:rsidRPr="005D78C4" w:rsidRDefault="002036C0" w:rsidP="00DB66D9">
      <w:pPr>
        <w:pStyle w:val="BodyText"/>
        <w:widowControl w:val="0"/>
        <w:spacing w:after="40" w:line="264" w:lineRule="auto"/>
        <w:ind w:left="567" w:hanging="567"/>
        <w:rPr>
          <w:b/>
          <w:sz w:val="24"/>
          <w:lang w:val="bg-BG"/>
        </w:rPr>
      </w:pPr>
      <w:r w:rsidRPr="005D78C4">
        <w:rPr>
          <w:b/>
          <w:sz w:val="24"/>
          <w:lang w:val="bg-BG"/>
        </w:rPr>
        <w:t>IV. ПРЕГЛЕД НА НАСТЪПИЛИТЕ ПР</w:t>
      </w:r>
      <w:r w:rsidR="000F69DC" w:rsidRPr="005D78C4">
        <w:rPr>
          <w:b/>
          <w:sz w:val="24"/>
          <w:lang w:val="bg-BG"/>
        </w:rPr>
        <w:t>ОМЕНИ НА ПОКАЗАТЕЛИТЕ ПО БЮДЖЕТ</w:t>
      </w:r>
      <w:r w:rsidR="00E0533F" w:rsidRPr="005D78C4">
        <w:rPr>
          <w:b/>
          <w:sz w:val="24"/>
          <w:lang w:val="bg-BG"/>
        </w:rPr>
        <w:t>А</w:t>
      </w:r>
    </w:p>
    <w:p w14:paraId="7DDD6B90" w14:textId="62DF6C56" w:rsidR="00815A8B" w:rsidRPr="005D78C4" w:rsidRDefault="00E0533F" w:rsidP="00DB66D9">
      <w:pPr>
        <w:tabs>
          <w:tab w:val="left" w:pos="567"/>
          <w:tab w:val="right" w:pos="709"/>
          <w:tab w:val="left" w:pos="1276"/>
        </w:tabs>
        <w:spacing w:after="40" w:line="264" w:lineRule="auto"/>
        <w:ind w:right="34"/>
        <w:jc w:val="both"/>
        <w:rPr>
          <w:rFonts w:ascii="Times New Roman" w:eastAsia="Batang" w:hAnsi="Times New Roman" w:cs="Times New Roman"/>
          <w:sz w:val="24"/>
          <w:szCs w:val="24"/>
          <w:lang w:eastAsia="bg-BG"/>
        </w:rPr>
      </w:pPr>
      <w:r w:rsidRPr="005D78C4">
        <w:rPr>
          <w:rFonts w:ascii="Times New Roman" w:eastAsia="Batang" w:hAnsi="Times New Roman" w:cs="Times New Roman"/>
          <w:sz w:val="24"/>
          <w:szCs w:val="24"/>
          <w:lang w:eastAsia="bg-BG"/>
        </w:rPr>
        <w:tab/>
      </w:r>
    </w:p>
    <w:p w14:paraId="54109338" w14:textId="08836A49" w:rsidR="00D30561" w:rsidRPr="005D78C4" w:rsidRDefault="00D30561" w:rsidP="00DB66D9">
      <w:pPr>
        <w:spacing w:after="40" w:line="264" w:lineRule="auto"/>
        <w:ind w:firstLine="709"/>
        <w:jc w:val="both"/>
        <w:rPr>
          <w:rFonts w:ascii="Times New Roman" w:eastAsia="Batang" w:hAnsi="Times New Roman" w:cs="Times New Roman"/>
          <w:sz w:val="24"/>
          <w:szCs w:val="24"/>
          <w:lang w:val="ru-RU" w:eastAsia="bg-BG"/>
        </w:rPr>
      </w:pPr>
      <w:r w:rsidRPr="005D78C4">
        <w:rPr>
          <w:rFonts w:ascii="Times New Roman" w:eastAsia="Batang" w:hAnsi="Times New Roman" w:cs="Times New Roman"/>
          <w:sz w:val="24"/>
          <w:szCs w:val="24"/>
          <w:lang w:eastAsia="bg-BG"/>
        </w:rPr>
        <w:lastRenderedPageBreak/>
        <w:t>Бюджетът на КЗК е приет със Закона за държавния бюджет на Република България за 20</w:t>
      </w:r>
      <w:r w:rsidRPr="005D78C4">
        <w:rPr>
          <w:rFonts w:ascii="Times New Roman" w:eastAsia="Batang" w:hAnsi="Times New Roman" w:cs="Times New Roman"/>
          <w:sz w:val="24"/>
          <w:szCs w:val="24"/>
          <w:lang w:val="en-US" w:eastAsia="bg-BG"/>
        </w:rPr>
        <w:t>2</w:t>
      </w:r>
      <w:r w:rsidR="00D22DCA" w:rsidRPr="005D78C4">
        <w:rPr>
          <w:rFonts w:ascii="Times New Roman" w:eastAsia="Batang" w:hAnsi="Times New Roman" w:cs="Times New Roman"/>
          <w:sz w:val="24"/>
          <w:szCs w:val="24"/>
          <w:lang w:eastAsia="bg-BG"/>
        </w:rPr>
        <w:t>5</w:t>
      </w:r>
      <w:r w:rsidRPr="005D78C4">
        <w:rPr>
          <w:rFonts w:ascii="Times New Roman" w:eastAsia="Batang" w:hAnsi="Times New Roman" w:cs="Times New Roman"/>
          <w:sz w:val="24"/>
          <w:szCs w:val="24"/>
          <w:lang w:eastAsia="bg-BG"/>
        </w:rPr>
        <w:t xml:space="preserve"> г. </w:t>
      </w:r>
      <w:r w:rsidRPr="005D78C4">
        <w:rPr>
          <w:rFonts w:ascii="Times New Roman" w:eastAsia="Batang" w:hAnsi="Times New Roman" w:cs="Times New Roman"/>
          <w:sz w:val="24"/>
          <w:szCs w:val="24"/>
          <w:lang w:val="en-US" w:eastAsia="bg-BG"/>
        </w:rPr>
        <w:t>(</w:t>
      </w:r>
      <w:r w:rsidRPr="005D78C4">
        <w:rPr>
          <w:rFonts w:ascii="Times New Roman" w:eastAsia="Batang" w:hAnsi="Times New Roman" w:cs="Times New Roman"/>
          <w:sz w:val="24"/>
          <w:szCs w:val="24"/>
          <w:lang w:eastAsia="bg-BG"/>
        </w:rPr>
        <w:t xml:space="preserve">обн. ДВ, бр. </w:t>
      </w:r>
      <w:r w:rsidR="00D22DCA" w:rsidRPr="005D78C4">
        <w:rPr>
          <w:rFonts w:ascii="Times New Roman" w:eastAsia="Batang" w:hAnsi="Times New Roman" w:cs="Times New Roman"/>
          <w:sz w:val="24"/>
          <w:szCs w:val="24"/>
          <w:lang w:eastAsia="bg-BG"/>
        </w:rPr>
        <w:t>26</w:t>
      </w:r>
      <w:r w:rsidRPr="005D78C4">
        <w:rPr>
          <w:rFonts w:ascii="Times New Roman" w:eastAsia="Batang" w:hAnsi="Times New Roman" w:cs="Times New Roman"/>
          <w:sz w:val="24"/>
          <w:szCs w:val="24"/>
          <w:lang w:eastAsia="bg-BG"/>
        </w:rPr>
        <w:t xml:space="preserve"> от </w:t>
      </w:r>
      <w:r w:rsidR="00D22DCA" w:rsidRPr="005D78C4">
        <w:rPr>
          <w:rFonts w:ascii="Times New Roman" w:eastAsia="Batang" w:hAnsi="Times New Roman" w:cs="Times New Roman"/>
          <w:sz w:val="24"/>
          <w:szCs w:val="24"/>
          <w:lang w:eastAsia="bg-BG"/>
        </w:rPr>
        <w:t>27</w:t>
      </w:r>
      <w:r w:rsidRPr="005D78C4">
        <w:rPr>
          <w:rFonts w:ascii="Times New Roman" w:eastAsia="Batang" w:hAnsi="Times New Roman" w:cs="Times New Roman"/>
          <w:sz w:val="24"/>
          <w:szCs w:val="24"/>
          <w:lang w:eastAsia="bg-BG"/>
        </w:rPr>
        <w:t>.</w:t>
      </w:r>
      <w:r w:rsidR="00D22DCA" w:rsidRPr="005D78C4">
        <w:rPr>
          <w:rFonts w:ascii="Times New Roman" w:eastAsia="Batang" w:hAnsi="Times New Roman" w:cs="Times New Roman"/>
          <w:sz w:val="24"/>
          <w:szCs w:val="24"/>
          <w:lang w:eastAsia="bg-BG"/>
        </w:rPr>
        <w:t>03</w:t>
      </w:r>
      <w:r w:rsidRPr="005D78C4">
        <w:rPr>
          <w:rFonts w:ascii="Times New Roman" w:eastAsia="Batang" w:hAnsi="Times New Roman" w:cs="Times New Roman"/>
          <w:sz w:val="24"/>
          <w:szCs w:val="24"/>
          <w:lang w:eastAsia="bg-BG"/>
        </w:rPr>
        <w:t>.202</w:t>
      </w:r>
      <w:r w:rsidR="00D22DCA" w:rsidRPr="005D78C4">
        <w:rPr>
          <w:rFonts w:ascii="Times New Roman" w:eastAsia="Batang" w:hAnsi="Times New Roman" w:cs="Times New Roman"/>
          <w:sz w:val="24"/>
          <w:szCs w:val="24"/>
          <w:lang w:eastAsia="bg-BG"/>
        </w:rPr>
        <w:t>5</w:t>
      </w:r>
      <w:r w:rsidRPr="005D78C4">
        <w:rPr>
          <w:rFonts w:ascii="Times New Roman" w:eastAsia="Batang" w:hAnsi="Times New Roman" w:cs="Times New Roman"/>
          <w:sz w:val="24"/>
          <w:szCs w:val="24"/>
          <w:lang w:eastAsia="bg-BG"/>
        </w:rPr>
        <w:t xml:space="preserve"> г., в сила от 01.01.202</w:t>
      </w:r>
      <w:r w:rsidR="00D22DCA" w:rsidRPr="005D78C4">
        <w:rPr>
          <w:rFonts w:ascii="Times New Roman" w:eastAsia="Batang" w:hAnsi="Times New Roman" w:cs="Times New Roman"/>
          <w:sz w:val="24"/>
          <w:szCs w:val="24"/>
          <w:lang w:val="en-US" w:eastAsia="bg-BG"/>
        </w:rPr>
        <w:t>5</w:t>
      </w:r>
      <w:r w:rsidR="00D22DCA" w:rsidRPr="005D78C4">
        <w:rPr>
          <w:rFonts w:ascii="Times New Roman" w:eastAsia="Batang" w:hAnsi="Times New Roman" w:cs="Times New Roman"/>
          <w:sz w:val="24"/>
          <w:szCs w:val="24"/>
          <w:lang w:eastAsia="bg-BG"/>
        </w:rPr>
        <w:t xml:space="preserve"> г.) в размер на 7 200 000 лв. за приходи и 7</w:t>
      </w:r>
      <w:r w:rsidRPr="005D78C4">
        <w:rPr>
          <w:rFonts w:ascii="Times New Roman" w:eastAsia="Batang" w:hAnsi="Times New Roman" w:cs="Times New Roman"/>
          <w:sz w:val="24"/>
          <w:szCs w:val="24"/>
          <w:lang w:eastAsia="bg-BG"/>
        </w:rPr>
        <w:t> </w:t>
      </w:r>
      <w:r w:rsidR="00D22DCA" w:rsidRPr="005D78C4">
        <w:rPr>
          <w:rFonts w:ascii="Times New Roman" w:eastAsia="Batang" w:hAnsi="Times New Roman" w:cs="Times New Roman"/>
          <w:sz w:val="24"/>
          <w:szCs w:val="24"/>
          <w:lang w:eastAsia="bg-BG"/>
        </w:rPr>
        <w:t>724</w:t>
      </w:r>
      <w:r w:rsidRPr="005D78C4">
        <w:rPr>
          <w:rFonts w:ascii="Times New Roman" w:eastAsia="Batang" w:hAnsi="Times New Roman" w:cs="Times New Roman"/>
          <w:sz w:val="24"/>
          <w:szCs w:val="24"/>
          <w:lang w:eastAsia="bg-BG"/>
        </w:rPr>
        <w:t xml:space="preserve"> </w:t>
      </w:r>
      <w:r w:rsidR="00D22DCA" w:rsidRPr="005D78C4">
        <w:rPr>
          <w:rFonts w:ascii="Times New Roman" w:eastAsia="Batang" w:hAnsi="Times New Roman" w:cs="Times New Roman"/>
          <w:sz w:val="24"/>
          <w:szCs w:val="24"/>
          <w:lang w:eastAsia="bg-BG"/>
        </w:rPr>
        <w:t>9</w:t>
      </w:r>
      <w:r w:rsidRPr="005D78C4">
        <w:rPr>
          <w:rFonts w:ascii="Times New Roman" w:eastAsia="Batang" w:hAnsi="Times New Roman" w:cs="Times New Roman"/>
          <w:sz w:val="24"/>
          <w:szCs w:val="24"/>
          <w:lang w:eastAsia="bg-BG"/>
        </w:rPr>
        <w:t>00 лв. за разходи. Приетият максимален размер на ангажиментите за разходи, които могат да бъдат поети през 20</w:t>
      </w:r>
      <w:r w:rsidRPr="005D78C4">
        <w:rPr>
          <w:rFonts w:ascii="Times New Roman" w:eastAsia="Batang" w:hAnsi="Times New Roman" w:cs="Times New Roman"/>
          <w:sz w:val="24"/>
          <w:szCs w:val="24"/>
          <w:lang w:val="en-US" w:eastAsia="bg-BG"/>
        </w:rPr>
        <w:t>2</w:t>
      </w:r>
      <w:r w:rsidR="00D22DCA" w:rsidRPr="005D78C4">
        <w:rPr>
          <w:rFonts w:ascii="Times New Roman" w:eastAsia="Batang" w:hAnsi="Times New Roman" w:cs="Times New Roman"/>
          <w:sz w:val="24"/>
          <w:szCs w:val="24"/>
          <w:lang w:eastAsia="bg-BG"/>
        </w:rPr>
        <w:t>5</w:t>
      </w:r>
      <w:r w:rsidRPr="005D78C4">
        <w:rPr>
          <w:rFonts w:ascii="Times New Roman" w:eastAsia="Batang" w:hAnsi="Times New Roman" w:cs="Times New Roman"/>
          <w:sz w:val="24"/>
          <w:szCs w:val="24"/>
          <w:lang w:eastAsia="bg-BG"/>
        </w:rPr>
        <w:t xml:space="preserve"> г. е 1 </w:t>
      </w:r>
      <w:r w:rsidR="00D22DCA" w:rsidRPr="005D78C4">
        <w:rPr>
          <w:rFonts w:ascii="Times New Roman" w:eastAsia="Batang" w:hAnsi="Times New Roman" w:cs="Times New Roman"/>
          <w:sz w:val="24"/>
          <w:szCs w:val="24"/>
          <w:lang w:eastAsia="bg-BG"/>
        </w:rPr>
        <w:t>278</w:t>
      </w:r>
      <w:r w:rsidRPr="005D78C4">
        <w:rPr>
          <w:rFonts w:ascii="Times New Roman" w:eastAsia="Batang" w:hAnsi="Times New Roman" w:cs="Times New Roman"/>
          <w:sz w:val="24"/>
          <w:szCs w:val="24"/>
          <w:lang w:eastAsia="bg-BG"/>
        </w:rPr>
        <w:t> </w:t>
      </w:r>
      <w:r w:rsidR="00D22DCA" w:rsidRPr="005D78C4">
        <w:rPr>
          <w:rFonts w:ascii="Times New Roman" w:eastAsia="Batang" w:hAnsi="Times New Roman" w:cs="Times New Roman"/>
          <w:sz w:val="24"/>
          <w:szCs w:val="24"/>
          <w:lang w:eastAsia="bg-BG"/>
        </w:rPr>
        <w:t>7</w:t>
      </w:r>
      <w:r w:rsidRPr="005D78C4">
        <w:rPr>
          <w:rFonts w:ascii="Times New Roman" w:eastAsia="Batang" w:hAnsi="Times New Roman" w:cs="Times New Roman"/>
          <w:sz w:val="24"/>
          <w:szCs w:val="24"/>
          <w:lang w:eastAsia="bg-BG"/>
        </w:rPr>
        <w:t>00 лв., а размерът на новите задължения за разходи, които могат да бъдат натрупани през 202</w:t>
      </w:r>
      <w:r w:rsidR="00D22DCA" w:rsidRPr="005D78C4">
        <w:rPr>
          <w:rFonts w:ascii="Times New Roman" w:eastAsia="Batang" w:hAnsi="Times New Roman" w:cs="Times New Roman"/>
          <w:sz w:val="24"/>
          <w:szCs w:val="24"/>
          <w:lang w:eastAsia="bg-BG"/>
        </w:rPr>
        <w:t>5</w:t>
      </w:r>
      <w:r w:rsidRPr="005D78C4">
        <w:rPr>
          <w:rFonts w:ascii="Times New Roman" w:eastAsia="Batang" w:hAnsi="Times New Roman" w:cs="Times New Roman"/>
          <w:sz w:val="24"/>
          <w:szCs w:val="24"/>
          <w:lang w:eastAsia="bg-BG"/>
        </w:rPr>
        <w:t xml:space="preserve"> г. – </w:t>
      </w:r>
      <w:r w:rsidR="00D22DCA" w:rsidRPr="005D78C4">
        <w:rPr>
          <w:rFonts w:ascii="Times New Roman" w:eastAsia="Batang" w:hAnsi="Times New Roman" w:cs="Times New Roman"/>
          <w:sz w:val="24"/>
          <w:szCs w:val="24"/>
          <w:lang w:eastAsia="bg-BG"/>
        </w:rPr>
        <w:t>973</w:t>
      </w:r>
      <w:r w:rsidRPr="005D78C4">
        <w:rPr>
          <w:rFonts w:ascii="Times New Roman" w:eastAsia="Batang" w:hAnsi="Times New Roman" w:cs="Times New Roman"/>
          <w:sz w:val="24"/>
          <w:szCs w:val="24"/>
          <w:lang w:eastAsia="bg-BG"/>
        </w:rPr>
        <w:t xml:space="preserve"> </w:t>
      </w:r>
      <w:r w:rsidR="00D22DCA" w:rsidRPr="005D78C4">
        <w:rPr>
          <w:rFonts w:ascii="Times New Roman" w:eastAsia="Batang" w:hAnsi="Times New Roman" w:cs="Times New Roman"/>
          <w:sz w:val="24"/>
          <w:szCs w:val="24"/>
          <w:lang w:eastAsia="bg-BG"/>
        </w:rPr>
        <w:t>7</w:t>
      </w:r>
      <w:r w:rsidRPr="005D78C4">
        <w:rPr>
          <w:rFonts w:ascii="Times New Roman" w:eastAsia="Batang" w:hAnsi="Times New Roman" w:cs="Times New Roman"/>
          <w:sz w:val="24"/>
          <w:szCs w:val="24"/>
          <w:lang w:eastAsia="bg-BG"/>
        </w:rPr>
        <w:t xml:space="preserve">00  лв. </w:t>
      </w:r>
      <w:r w:rsidRPr="005D78C4">
        <w:rPr>
          <w:rFonts w:ascii="Times New Roman" w:eastAsia="Batang" w:hAnsi="Times New Roman" w:cs="Times New Roman"/>
          <w:sz w:val="24"/>
          <w:szCs w:val="24"/>
          <w:lang w:val="ru-RU" w:eastAsia="bg-BG"/>
        </w:rPr>
        <w:t xml:space="preserve">   </w:t>
      </w:r>
    </w:p>
    <w:p w14:paraId="10865CC2" w14:textId="79B720DA" w:rsidR="00D30561" w:rsidRPr="005D78C4" w:rsidRDefault="00927748" w:rsidP="00DB66D9">
      <w:pPr>
        <w:spacing w:after="40" w:line="264" w:lineRule="auto"/>
        <w:ind w:firstLine="709"/>
        <w:jc w:val="both"/>
        <w:rPr>
          <w:rFonts w:ascii="Times New Roman" w:eastAsia="Times New Roman" w:hAnsi="Times New Roman" w:cs="Times New Roman"/>
          <w:sz w:val="24"/>
          <w:szCs w:val="24"/>
          <w:lang w:val="ru-RU" w:eastAsia="bg-BG"/>
        </w:rPr>
      </w:pPr>
      <w:r w:rsidRPr="005D78C4">
        <w:rPr>
          <w:rFonts w:ascii="Times New Roman" w:eastAsia="Batang" w:hAnsi="Times New Roman" w:cs="Times New Roman"/>
          <w:sz w:val="24"/>
          <w:szCs w:val="24"/>
          <w:lang w:eastAsia="bg-BG"/>
        </w:rPr>
        <w:t>През периода 01.01.202</w:t>
      </w:r>
      <w:r w:rsidR="00D22DCA" w:rsidRPr="005D78C4">
        <w:rPr>
          <w:rFonts w:ascii="Times New Roman" w:eastAsia="Batang" w:hAnsi="Times New Roman" w:cs="Times New Roman"/>
          <w:sz w:val="24"/>
          <w:szCs w:val="24"/>
          <w:lang w:eastAsia="bg-BG"/>
        </w:rPr>
        <w:t>5</w:t>
      </w:r>
      <w:r w:rsidRPr="005D78C4">
        <w:rPr>
          <w:rFonts w:ascii="Times New Roman" w:eastAsia="Batang" w:hAnsi="Times New Roman" w:cs="Times New Roman"/>
          <w:sz w:val="24"/>
          <w:szCs w:val="24"/>
          <w:lang w:eastAsia="bg-BG"/>
        </w:rPr>
        <w:t xml:space="preserve"> – 30.06.202</w:t>
      </w:r>
      <w:r w:rsidR="00D22DCA" w:rsidRPr="005D78C4">
        <w:rPr>
          <w:rFonts w:ascii="Times New Roman" w:eastAsia="Batang" w:hAnsi="Times New Roman" w:cs="Times New Roman"/>
          <w:sz w:val="24"/>
          <w:szCs w:val="24"/>
          <w:lang w:eastAsia="bg-BG"/>
        </w:rPr>
        <w:t>5</w:t>
      </w:r>
      <w:r w:rsidRPr="005D78C4">
        <w:rPr>
          <w:rFonts w:ascii="Times New Roman" w:eastAsia="Batang" w:hAnsi="Times New Roman" w:cs="Times New Roman"/>
          <w:sz w:val="24"/>
          <w:szCs w:val="24"/>
          <w:lang w:eastAsia="bg-BG"/>
        </w:rPr>
        <w:t xml:space="preserve"> г. по бюджета на КЗК </w:t>
      </w:r>
      <w:r w:rsidR="00D22DCA" w:rsidRPr="005D78C4">
        <w:rPr>
          <w:rFonts w:ascii="Times New Roman" w:eastAsia="Batang" w:hAnsi="Times New Roman" w:cs="Times New Roman"/>
          <w:sz w:val="24"/>
          <w:szCs w:val="24"/>
          <w:lang w:eastAsia="bg-BG"/>
        </w:rPr>
        <w:t>няма</w:t>
      </w:r>
      <w:r w:rsidRPr="005D78C4">
        <w:rPr>
          <w:rFonts w:ascii="Times New Roman" w:eastAsia="Batang" w:hAnsi="Times New Roman" w:cs="Times New Roman"/>
          <w:sz w:val="24"/>
          <w:szCs w:val="24"/>
          <w:lang w:eastAsia="bg-BG"/>
        </w:rPr>
        <w:t xml:space="preserve"> извършени промени</w:t>
      </w:r>
      <w:r w:rsidR="00D22DCA" w:rsidRPr="005D78C4">
        <w:rPr>
          <w:rFonts w:ascii="Times New Roman" w:eastAsia="Batang" w:hAnsi="Times New Roman" w:cs="Times New Roman"/>
          <w:sz w:val="24"/>
          <w:szCs w:val="24"/>
          <w:lang w:eastAsia="bg-BG"/>
        </w:rPr>
        <w:t xml:space="preserve">. </w:t>
      </w:r>
    </w:p>
    <w:p w14:paraId="51D95B1C" w14:textId="77777777" w:rsidR="005B7AA2" w:rsidRPr="005D78C4" w:rsidRDefault="005B7AA2" w:rsidP="00C50DED">
      <w:pPr>
        <w:spacing w:after="40" w:line="264" w:lineRule="auto"/>
        <w:jc w:val="both"/>
        <w:rPr>
          <w:rFonts w:ascii="Times New Roman" w:eastAsia="Times New Roman" w:hAnsi="Times New Roman" w:cs="Times New Roman"/>
          <w:b/>
          <w:i/>
          <w:lang w:eastAsia="bg-BG"/>
        </w:rPr>
      </w:pPr>
    </w:p>
    <w:p w14:paraId="733A9234" w14:textId="044E13B7" w:rsidR="002B6C1F" w:rsidRPr="005D78C4" w:rsidRDefault="002B6C1F" w:rsidP="00DB66D9">
      <w:pPr>
        <w:spacing w:after="40" w:line="264" w:lineRule="auto"/>
        <w:jc w:val="both"/>
        <w:rPr>
          <w:rFonts w:ascii="Times New Roman" w:eastAsia="Times New Roman" w:hAnsi="Times New Roman" w:cs="Times New Roman"/>
          <w:lang w:eastAsia="bg-BG"/>
        </w:rPr>
        <w:sectPr w:rsidR="002B6C1F" w:rsidRPr="005D78C4" w:rsidSect="00FC3A7B">
          <w:pgSz w:w="11906" w:h="16838"/>
          <w:pgMar w:top="1134" w:right="1133" w:bottom="993" w:left="1418" w:header="709" w:footer="278" w:gutter="0"/>
          <w:cols w:space="708"/>
          <w:docGrid w:linePitch="360"/>
        </w:sectPr>
      </w:pPr>
    </w:p>
    <w:p w14:paraId="4D27F4CD" w14:textId="4BEA2031" w:rsidR="00403818" w:rsidRPr="005D78C4" w:rsidRDefault="00403818" w:rsidP="00DB66D9">
      <w:pPr>
        <w:pStyle w:val="BodyText"/>
        <w:widowControl w:val="0"/>
        <w:spacing w:after="40" w:line="264" w:lineRule="auto"/>
        <w:ind w:left="709" w:hanging="709"/>
        <w:rPr>
          <w:b/>
          <w:sz w:val="24"/>
          <w:lang w:val="bg-BG"/>
        </w:rPr>
      </w:pPr>
      <w:r w:rsidRPr="005D78C4">
        <w:rPr>
          <w:b/>
          <w:sz w:val="24"/>
        </w:rPr>
        <w:lastRenderedPageBreak/>
        <w:t xml:space="preserve">V. </w:t>
      </w:r>
      <w:r w:rsidRPr="005D78C4">
        <w:rPr>
          <w:b/>
          <w:sz w:val="24"/>
          <w:lang w:val="bg-BG"/>
        </w:rPr>
        <w:t>ПРЕГЛЕД НА ФУНКЦИОНАЛНА ОБЛАСТ „ЗАЩИТА НА КОНКУРЕНЦИЯТА И КОНТРОЛ НА ЗАКОНОСЪОБРАЗНОСТТА ПРИ ПРОЦЕДУРИТЕ ПО ВЪЗЛАГАНЕ НА ОБЩЕСТВЕНИ ПОРЪЧКИ И ПРЕДОСТАВЯНЕ НА КОНЦЕСИИ“</w:t>
      </w:r>
    </w:p>
    <w:p w14:paraId="10E73591" w14:textId="77777777" w:rsidR="00403818" w:rsidRPr="005D78C4" w:rsidRDefault="00403818" w:rsidP="00DB66D9">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Комисия за защита на конкуренцията осъществява дейност в областта на защитата на конкуренцията и контрола на законосъобразността при процедурите по възлагане на обществени поръчки и предоставяне на  концесии. В изпълнение на своята дейност, през отчетния период КЗК съблюдаваше за стриктното спазване на Закона за защита на конкуренцията, Закона за обществените поръчки (ЗОП), Закона за концесиите (ЗК) и отговаряше за прилагането на Общностното право в областта на конкуренцията.</w:t>
      </w:r>
      <w:r w:rsidRPr="005D78C4">
        <w:rPr>
          <w:rFonts w:ascii="Times New Roman" w:hAnsi="Times New Roman" w:cs="Times New Roman"/>
          <w:sz w:val="24"/>
          <w:szCs w:val="24"/>
          <w:lang w:val="en-US"/>
        </w:rPr>
        <w:t xml:space="preserve"> </w:t>
      </w:r>
      <w:r w:rsidRPr="005D78C4">
        <w:rPr>
          <w:rFonts w:ascii="Times New Roman" w:hAnsi="Times New Roman" w:cs="Times New Roman"/>
          <w:sz w:val="24"/>
          <w:szCs w:val="24"/>
        </w:rPr>
        <w:t xml:space="preserve"> </w:t>
      </w:r>
    </w:p>
    <w:p w14:paraId="10FEAE08" w14:textId="699EEC70" w:rsidR="00403818" w:rsidRPr="005D78C4" w:rsidRDefault="00013557" w:rsidP="00DB66D9">
      <w:pPr>
        <w:spacing w:after="40" w:line="264" w:lineRule="auto"/>
        <w:ind w:firstLine="709"/>
        <w:jc w:val="both"/>
        <w:rPr>
          <w:rFonts w:ascii="Times New Roman" w:hAnsi="Times New Roman" w:cs="Times New Roman"/>
          <w:sz w:val="24"/>
          <w:szCs w:val="24"/>
        </w:rPr>
      </w:pPr>
      <w:r w:rsidRPr="005D78C4">
        <w:rPr>
          <w:rFonts w:ascii="Times New Roman" w:eastAsia="Calibri" w:hAnsi="Times New Roman" w:cs="Times New Roman"/>
          <w:sz w:val="24"/>
          <w:szCs w:val="24"/>
        </w:rPr>
        <w:t>КЗК</w:t>
      </w:r>
      <w:r w:rsidRPr="005D78C4">
        <w:rPr>
          <w:rFonts w:ascii="Times New Roman" w:eastAsia="Calibri" w:hAnsi="Times New Roman" w:cs="Times New Roman"/>
          <w:sz w:val="24"/>
          <w:szCs w:val="24"/>
          <w:lang w:val="en-US"/>
        </w:rPr>
        <w:t xml:space="preserve"> </w:t>
      </w:r>
      <w:r w:rsidR="00403818" w:rsidRPr="005D78C4">
        <w:rPr>
          <w:rFonts w:ascii="Times New Roman" w:eastAsia="Calibri" w:hAnsi="Times New Roman" w:cs="Times New Roman"/>
          <w:sz w:val="24"/>
          <w:szCs w:val="24"/>
        </w:rPr>
        <w:t>фокусира работата си основно върху борбата срещу забранените споразумения, предотвратяването на съгласувани практики на пазара, прекратяване на нелоялни търговски практики и прецизно разрешаване на спорове по Закона за обществените поръчки и Закона за концесиите. Комисията поставя като акцент в своята дейност и ориентирането на нейните решения както към гарантиране на защита и разширяване на конкуренцията, така и към защита интересите на потребителя. Това е породено от необходимостта да бъде отчетено, че нарушенията на конкуренцията пряко или непряко засягат благосъстоянието на потребителите.</w:t>
      </w:r>
    </w:p>
    <w:p w14:paraId="15671EC8" w14:textId="77777777" w:rsidR="00403818" w:rsidRPr="005D78C4" w:rsidRDefault="00403818" w:rsidP="00DB66D9">
      <w:pPr>
        <w:spacing w:after="40" w:line="264" w:lineRule="auto"/>
        <w:ind w:firstLine="709"/>
        <w:jc w:val="both"/>
        <w:rPr>
          <w:rFonts w:ascii="Times New Roman" w:hAnsi="Times New Roman" w:cs="Times New Roman"/>
          <w:b/>
          <w:i/>
          <w:sz w:val="24"/>
          <w:szCs w:val="24"/>
        </w:rPr>
      </w:pPr>
      <w:r w:rsidRPr="005D78C4">
        <w:rPr>
          <w:rFonts w:ascii="Times New Roman" w:hAnsi="Times New Roman" w:cs="Times New Roman"/>
          <w:sz w:val="24"/>
          <w:szCs w:val="24"/>
        </w:rPr>
        <w:t>За изпълнението на целите на Комисията допринася взаимодействието с други институции, както следва:</w:t>
      </w:r>
    </w:p>
    <w:p w14:paraId="3014A923" w14:textId="77777777" w:rsidR="00403818" w:rsidRPr="005D78C4" w:rsidRDefault="00403818" w:rsidP="0026348A">
      <w:pPr>
        <w:pStyle w:val="NormalWeb"/>
        <w:numPr>
          <w:ilvl w:val="0"/>
          <w:numId w:val="4"/>
        </w:numPr>
        <w:spacing w:after="40" w:line="264" w:lineRule="auto"/>
        <w:ind w:left="1134"/>
        <w:rPr>
          <w:color w:val="auto"/>
        </w:rPr>
      </w:pPr>
      <w:r w:rsidRPr="005D78C4">
        <w:rPr>
          <w:color w:val="auto"/>
        </w:rPr>
        <w:t xml:space="preserve">Комисията сътрудничи с Европейската комисия и другите национални органи по конкуренцията на държавите - членки на Европейския съюз, по реда на </w:t>
      </w:r>
      <w:hyperlink r:id="rId10" w:history="1">
        <w:r w:rsidRPr="005D78C4">
          <w:rPr>
            <w:rStyle w:val="Hyperlink"/>
            <w:color w:val="auto"/>
          </w:rPr>
          <w:t>Регламент (ЕО) № 1/2003</w:t>
        </w:r>
      </w:hyperlink>
      <w:r w:rsidRPr="005D78C4">
        <w:rPr>
          <w:color w:val="auto"/>
        </w:rPr>
        <w:t xml:space="preserve"> и </w:t>
      </w:r>
      <w:hyperlink r:id="rId11" w:history="1">
        <w:r w:rsidRPr="005D78C4">
          <w:rPr>
            <w:rStyle w:val="Hyperlink"/>
            <w:color w:val="auto"/>
          </w:rPr>
          <w:t>Регламент (ЕО) № 139/2004</w:t>
        </w:r>
      </w:hyperlink>
      <w:r w:rsidRPr="005D78C4">
        <w:rPr>
          <w:color w:val="auto"/>
          <w:lang w:val="en-US"/>
        </w:rPr>
        <w:t>;</w:t>
      </w:r>
    </w:p>
    <w:p w14:paraId="23A96C53" w14:textId="77777777" w:rsidR="00403818" w:rsidRPr="005D78C4" w:rsidRDefault="00403818" w:rsidP="0026348A">
      <w:pPr>
        <w:pStyle w:val="NormalWeb"/>
        <w:numPr>
          <w:ilvl w:val="0"/>
          <w:numId w:val="4"/>
        </w:numPr>
        <w:spacing w:after="40" w:line="264" w:lineRule="auto"/>
        <w:ind w:left="1134"/>
        <w:rPr>
          <w:color w:val="auto"/>
        </w:rPr>
      </w:pPr>
      <w:r w:rsidRPr="005D78C4">
        <w:rPr>
          <w:color w:val="auto"/>
        </w:rPr>
        <w:t>Комисията предлага на компетентните държавни органи и органи на местното самоуправление да отменят или изменят издадени от тях административни актове, които водят или могат да доведат до предотвратяване, ограничаване или нарушаване на конкуренцията;</w:t>
      </w:r>
    </w:p>
    <w:p w14:paraId="7E09FC07" w14:textId="090692FA" w:rsidR="008A1E99" w:rsidRPr="005D78C4" w:rsidRDefault="00403818" w:rsidP="0026348A">
      <w:pPr>
        <w:pStyle w:val="NormalWeb"/>
        <w:numPr>
          <w:ilvl w:val="0"/>
          <w:numId w:val="4"/>
        </w:numPr>
        <w:spacing w:after="40" w:line="264" w:lineRule="auto"/>
        <w:ind w:left="1134"/>
        <w:rPr>
          <w:color w:val="auto"/>
        </w:rPr>
      </w:pPr>
      <w:r w:rsidRPr="005D78C4">
        <w:rPr>
          <w:color w:val="auto"/>
        </w:rPr>
        <w:t>Комисията взаимодейства с държавните органи, включително с органите на изпълнителната власт и органите на местното самоуправление, както и с институции и неправителствени организации чрез участие в разработването на проекти на нормативни актове, изразяване на становища по проекти, както и по действащи нормативни и общи административни актове, обмен на информация и други форми на сътрудничество</w:t>
      </w:r>
      <w:r w:rsidRPr="005D78C4">
        <w:rPr>
          <w:color w:val="auto"/>
          <w:lang w:val="en-US"/>
        </w:rPr>
        <w:t>.</w:t>
      </w:r>
    </w:p>
    <w:p w14:paraId="501F5FA1" w14:textId="77777777" w:rsidR="001962B6" w:rsidRPr="005D78C4" w:rsidRDefault="008A1E99" w:rsidP="001962B6">
      <w:pPr>
        <w:spacing w:after="40" w:line="264" w:lineRule="auto"/>
        <w:jc w:val="both"/>
        <w:rPr>
          <w:rFonts w:ascii="Times New Roman" w:hAnsi="Times New Roman" w:cs="Times New Roman"/>
          <w:b/>
          <w:i/>
          <w:sz w:val="24"/>
          <w:szCs w:val="24"/>
        </w:rPr>
      </w:pPr>
      <w:r w:rsidRPr="005D78C4">
        <w:rPr>
          <w:rFonts w:ascii="Times New Roman" w:hAnsi="Times New Roman" w:cs="Times New Roman"/>
          <w:sz w:val="24"/>
          <w:szCs w:val="24"/>
        </w:rPr>
        <w:t>Д</w:t>
      </w:r>
      <w:r w:rsidR="00403818" w:rsidRPr="005D78C4">
        <w:rPr>
          <w:rFonts w:ascii="Times New Roman" w:hAnsi="Times New Roman" w:cs="Times New Roman"/>
          <w:sz w:val="24"/>
          <w:szCs w:val="24"/>
        </w:rPr>
        <w:t xml:space="preserve">ейността на Комисията </w:t>
      </w:r>
      <w:r w:rsidRPr="005D78C4">
        <w:rPr>
          <w:rFonts w:ascii="Times New Roman" w:hAnsi="Times New Roman" w:cs="Times New Roman"/>
          <w:sz w:val="24"/>
          <w:szCs w:val="24"/>
        </w:rPr>
        <w:t xml:space="preserve">е свързана с </w:t>
      </w:r>
      <w:r w:rsidR="00403818" w:rsidRPr="005D78C4">
        <w:rPr>
          <w:rFonts w:ascii="Times New Roman" w:hAnsi="Times New Roman" w:cs="Times New Roman"/>
          <w:sz w:val="24"/>
          <w:szCs w:val="24"/>
        </w:rPr>
        <w:t xml:space="preserve"> изпълнението на Закона за защита на конкуренцията, Закона за обществените поръчки и Закона за концесиите. Поради това изискването за формулиране на показатели за изпълнение и планиране на целеви стойности по тях не е приложимо.</w:t>
      </w:r>
      <w:r w:rsidRPr="005D78C4">
        <w:rPr>
          <w:rFonts w:ascii="Times New Roman" w:hAnsi="Times New Roman" w:cs="Times New Roman"/>
          <w:sz w:val="24"/>
          <w:szCs w:val="24"/>
        </w:rPr>
        <w:t xml:space="preserve"> </w:t>
      </w:r>
      <w:r w:rsidR="00403818" w:rsidRPr="005D78C4">
        <w:rPr>
          <w:rFonts w:ascii="Times New Roman" w:hAnsi="Times New Roman" w:cs="Times New Roman"/>
          <w:sz w:val="24"/>
          <w:szCs w:val="24"/>
        </w:rPr>
        <w:t>Съгласно указание на Министерство на финансите БЮ № 3 от 30.08.2019 г. за новоопределените ПРБ с Решение на Министерски съвет № 520 от 29.08.2019 г., не се изисква дефиниране на показатели за полза/ ефект и з</w:t>
      </w:r>
      <w:r w:rsidR="001962B6" w:rsidRPr="005D78C4">
        <w:rPr>
          <w:rFonts w:ascii="Times New Roman" w:hAnsi="Times New Roman" w:cs="Times New Roman"/>
          <w:sz w:val="24"/>
          <w:szCs w:val="24"/>
        </w:rPr>
        <w:t>алагането на целеви стойности  по тези показатели за изпълнение, поради което не може да бъде предоставена информация за наличността и качеството на данните.</w:t>
      </w:r>
      <w:r w:rsidR="001962B6" w:rsidRPr="005D78C4">
        <w:rPr>
          <w:rFonts w:ascii="Times New Roman" w:hAnsi="Times New Roman" w:cs="Times New Roman"/>
          <w:b/>
          <w:i/>
          <w:sz w:val="24"/>
          <w:szCs w:val="24"/>
        </w:rPr>
        <w:t xml:space="preserve"> </w:t>
      </w:r>
    </w:p>
    <w:p w14:paraId="6AF6B442" w14:textId="77777777" w:rsidR="001962B6" w:rsidRPr="005D78C4" w:rsidRDefault="001962B6" w:rsidP="001962B6">
      <w:pPr>
        <w:spacing w:after="40" w:line="264" w:lineRule="auto"/>
        <w:ind w:firstLine="360"/>
        <w:jc w:val="both"/>
        <w:rPr>
          <w:rFonts w:ascii="Times New Roman" w:hAnsi="Times New Roman" w:cs="Times New Roman"/>
          <w:b/>
          <w:i/>
          <w:sz w:val="24"/>
          <w:szCs w:val="24"/>
        </w:rPr>
      </w:pPr>
    </w:p>
    <w:p w14:paraId="74AEDD3D" w14:textId="728171C6" w:rsidR="001962B6" w:rsidRPr="005D78C4" w:rsidRDefault="001962B6" w:rsidP="001962B6">
      <w:pPr>
        <w:spacing w:after="40" w:line="264" w:lineRule="auto"/>
        <w:ind w:firstLine="360"/>
        <w:jc w:val="both"/>
        <w:rPr>
          <w:rFonts w:ascii="Times New Roman" w:hAnsi="Times New Roman" w:cs="Times New Roman"/>
          <w:b/>
          <w:i/>
          <w:sz w:val="24"/>
          <w:szCs w:val="24"/>
        </w:rPr>
      </w:pPr>
      <w:r w:rsidRPr="005D78C4">
        <w:rPr>
          <w:rFonts w:ascii="Times New Roman" w:hAnsi="Times New Roman" w:cs="Times New Roman"/>
          <w:b/>
          <w:i/>
          <w:sz w:val="24"/>
          <w:szCs w:val="24"/>
        </w:rPr>
        <w:t>Отговорност за изпълнението на целите на функционалната област:</w:t>
      </w:r>
    </w:p>
    <w:p w14:paraId="43C5B03E" w14:textId="77777777" w:rsidR="001962B6" w:rsidRPr="005D78C4" w:rsidRDefault="001962B6" w:rsidP="001962B6">
      <w:pPr>
        <w:pStyle w:val="ListParagraph"/>
        <w:numPr>
          <w:ilvl w:val="0"/>
          <w:numId w:val="37"/>
        </w:numPr>
        <w:spacing w:after="40" w:line="264" w:lineRule="auto"/>
        <w:contextualSpacing/>
        <w:jc w:val="both"/>
        <w:rPr>
          <w:rFonts w:ascii="Times New Roman" w:hAnsi="Times New Roman" w:cs="Times New Roman"/>
        </w:rPr>
      </w:pPr>
      <w:r w:rsidRPr="005D78C4">
        <w:rPr>
          <w:rFonts w:ascii="Times New Roman" w:hAnsi="Times New Roman" w:cs="Times New Roman"/>
        </w:rPr>
        <w:t>Председателят на Комисията, като представляващ цялостната дейност на КЗК;</w:t>
      </w:r>
    </w:p>
    <w:p w14:paraId="2CB3897E" w14:textId="4A15DCD5" w:rsidR="001962B6" w:rsidRPr="005D78C4" w:rsidRDefault="001962B6" w:rsidP="001962B6">
      <w:pPr>
        <w:pStyle w:val="ListParagraph"/>
        <w:numPr>
          <w:ilvl w:val="0"/>
          <w:numId w:val="37"/>
        </w:numPr>
        <w:spacing w:after="40" w:line="264" w:lineRule="auto"/>
        <w:contextualSpacing/>
        <w:jc w:val="both"/>
        <w:rPr>
          <w:rFonts w:ascii="Times New Roman" w:hAnsi="Times New Roman" w:cs="Times New Roman"/>
        </w:rPr>
        <w:sectPr w:rsidR="001962B6" w:rsidRPr="005D78C4" w:rsidSect="005B7AA2">
          <w:pgSz w:w="11906" w:h="16838"/>
          <w:pgMar w:top="1134" w:right="1418" w:bottom="851" w:left="1418" w:header="709" w:footer="278" w:gutter="0"/>
          <w:cols w:space="708"/>
          <w:docGrid w:linePitch="360"/>
        </w:sectPr>
      </w:pPr>
      <w:r w:rsidRPr="005D78C4">
        <w:rPr>
          <w:rFonts w:ascii="Times New Roman" w:hAnsi="Times New Roman" w:cs="Times New Roman"/>
        </w:rPr>
        <w:t>Ресорните директори на дирекции, като отговорни по конкретните задачи.</w:t>
      </w:r>
    </w:p>
    <w:p w14:paraId="551FD3C2" w14:textId="77777777" w:rsidR="00576E21" w:rsidRPr="005D78C4" w:rsidRDefault="000B43CE" w:rsidP="00DB66D9">
      <w:pPr>
        <w:pStyle w:val="BodyText"/>
        <w:widowControl w:val="0"/>
        <w:tabs>
          <w:tab w:val="left" w:pos="851"/>
        </w:tabs>
        <w:spacing w:after="40" w:line="264" w:lineRule="auto"/>
        <w:ind w:left="709" w:hanging="709"/>
        <w:rPr>
          <w:b/>
          <w:sz w:val="24"/>
          <w:lang w:val="bg-BG"/>
        </w:rPr>
      </w:pPr>
      <w:r w:rsidRPr="005D78C4">
        <w:rPr>
          <w:b/>
          <w:sz w:val="24"/>
        </w:rPr>
        <w:lastRenderedPageBreak/>
        <w:t xml:space="preserve">VI.    </w:t>
      </w:r>
      <w:r w:rsidRPr="005D78C4">
        <w:rPr>
          <w:b/>
          <w:sz w:val="24"/>
        </w:rPr>
        <w:tab/>
      </w:r>
      <w:r w:rsidR="00576E21" w:rsidRPr="005D78C4">
        <w:rPr>
          <w:b/>
          <w:sz w:val="24"/>
          <w:lang w:val="bg-BG"/>
        </w:rPr>
        <w:t>ПРЕГЛЕД НА БЮДЖЕТНА ПРОГРАМА „ЗАЩИТА НА КОНКУРЕНЦИЯТА И КОНТРОЛ НА ЗАКОНОСЪОБРАЗНОСТТА ПРИ ПРОЦЕДУРИТЕ ПО ВЪЗЛАГАНЕ НА ОБЩЕСТВЕНИ ПОРЪЧКИ И ПРЕДОСТАВЯНЕ НА КОНЦЕСИИ“</w:t>
      </w:r>
    </w:p>
    <w:p w14:paraId="410B8A06" w14:textId="77777777" w:rsidR="007879EC" w:rsidRPr="005D78C4" w:rsidRDefault="007879EC" w:rsidP="00DB66D9">
      <w:pPr>
        <w:spacing w:after="40" w:line="264" w:lineRule="auto"/>
        <w:jc w:val="both"/>
        <w:rPr>
          <w:rFonts w:ascii="Times New Roman" w:eastAsia="Times New Roman" w:hAnsi="Times New Roman" w:cs="Times New Roman"/>
          <w:b/>
          <w:i/>
          <w:sz w:val="24"/>
          <w:szCs w:val="24"/>
          <w:lang w:eastAsia="bg-BG"/>
        </w:rPr>
      </w:pPr>
    </w:p>
    <w:p w14:paraId="72BAEC22" w14:textId="77777777" w:rsidR="00C233D6" w:rsidRPr="005D78C4" w:rsidRDefault="00A37AE7" w:rsidP="00DB66D9">
      <w:pPr>
        <w:spacing w:after="40" w:line="264" w:lineRule="auto"/>
        <w:jc w:val="both"/>
        <w:rPr>
          <w:rFonts w:ascii="Times New Roman" w:hAnsi="Times New Roman" w:cs="Times New Roman"/>
          <w:b/>
          <w:i/>
          <w:sz w:val="24"/>
          <w:szCs w:val="24"/>
          <w:lang w:val="en-US"/>
        </w:rPr>
      </w:pPr>
      <w:r w:rsidRPr="005D78C4">
        <w:rPr>
          <w:rFonts w:ascii="Times New Roman" w:hAnsi="Times New Roman" w:cs="Times New Roman"/>
          <w:b/>
          <w:i/>
          <w:sz w:val="24"/>
          <w:szCs w:val="24"/>
        </w:rPr>
        <w:t xml:space="preserve">а) </w:t>
      </w:r>
      <w:r w:rsidR="003D3355" w:rsidRPr="005D78C4">
        <w:rPr>
          <w:rFonts w:ascii="Times New Roman" w:hAnsi="Times New Roman" w:cs="Times New Roman"/>
          <w:b/>
          <w:i/>
          <w:sz w:val="24"/>
          <w:szCs w:val="24"/>
        </w:rPr>
        <w:t xml:space="preserve">Изпълнение на заложените в </w:t>
      </w:r>
      <w:r w:rsidR="004E1491" w:rsidRPr="005D78C4">
        <w:rPr>
          <w:rFonts w:ascii="Times New Roman" w:hAnsi="Times New Roman" w:cs="Times New Roman"/>
          <w:b/>
          <w:i/>
          <w:sz w:val="24"/>
          <w:szCs w:val="24"/>
        </w:rPr>
        <w:t>програма</w:t>
      </w:r>
      <w:r w:rsidR="003B6917" w:rsidRPr="005D78C4">
        <w:rPr>
          <w:rFonts w:ascii="Times New Roman" w:hAnsi="Times New Roman" w:cs="Times New Roman"/>
          <w:b/>
          <w:i/>
          <w:sz w:val="24"/>
          <w:szCs w:val="24"/>
        </w:rPr>
        <w:t>та</w:t>
      </w:r>
      <w:r w:rsidR="0048005A" w:rsidRPr="005D78C4">
        <w:rPr>
          <w:rFonts w:ascii="Times New Roman" w:hAnsi="Times New Roman" w:cs="Times New Roman"/>
          <w:b/>
          <w:i/>
          <w:sz w:val="24"/>
          <w:szCs w:val="24"/>
        </w:rPr>
        <w:t xml:space="preserve"> </w:t>
      </w:r>
      <w:r w:rsidR="003D3355" w:rsidRPr="005D78C4">
        <w:rPr>
          <w:rFonts w:ascii="Times New Roman" w:hAnsi="Times New Roman" w:cs="Times New Roman"/>
          <w:b/>
          <w:i/>
          <w:sz w:val="24"/>
          <w:szCs w:val="24"/>
        </w:rPr>
        <w:t>ц</w:t>
      </w:r>
      <w:r w:rsidR="00C233D6" w:rsidRPr="005D78C4">
        <w:rPr>
          <w:rFonts w:ascii="Times New Roman" w:hAnsi="Times New Roman" w:cs="Times New Roman"/>
          <w:b/>
          <w:i/>
          <w:sz w:val="24"/>
          <w:szCs w:val="24"/>
        </w:rPr>
        <w:t>ели</w:t>
      </w:r>
    </w:p>
    <w:p w14:paraId="0801BA08" w14:textId="459A0EE1" w:rsidR="00C233D6" w:rsidRPr="005D78C4" w:rsidRDefault="00B53F4F" w:rsidP="00DB66D9">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 xml:space="preserve">В работния процес на Комисията </w:t>
      </w:r>
      <w:r w:rsidR="007727C9" w:rsidRPr="005D78C4">
        <w:rPr>
          <w:rFonts w:ascii="Times New Roman" w:hAnsi="Times New Roman" w:cs="Times New Roman"/>
          <w:sz w:val="24"/>
          <w:szCs w:val="24"/>
        </w:rPr>
        <w:t>се осъществяват</w:t>
      </w:r>
      <w:r w:rsidRPr="005D78C4">
        <w:rPr>
          <w:rFonts w:ascii="Times New Roman" w:hAnsi="Times New Roman" w:cs="Times New Roman"/>
          <w:sz w:val="24"/>
          <w:szCs w:val="24"/>
        </w:rPr>
        <w:t xml:space="preserve"> дейности, които в своята съвкупност да доведат до изпълнението на заложените </w:t>
      </w:r>
      <w:r w:rsidR="00C233D6" w:rsidRPr="005D78C4">
        <w:rPr>
          <w:rFonts w:ascii="Times New Roman" w:hAnsi="Times New Roman" w:cs="Times New Roman"/>
          <w:sz w:val="24"/>
          <w:szCs w:val="24"/>
        </w:rPr>
        <w:t xml:space="preserve">оперативни цели: </w:t>
      </w:r>
    </w:p>
    <w:p w14:paraId="454A8B1D" w14:textId="77777777" w:rsidR="00CC4C66" w:rsidRPr="005D78C4" w:rsidRDefault="00C233D6" w:rsidP="00DB66D9">
      <w:pPr>
        <w:pStyle w:val="ListParagraph"/>
        <w:numPr>
          <w:ilvl w:val="0"/>
          <w:numId w:val="10"/>
        </w:numPr>
        <w:tabs>
          <w:tab w:val="left" w:pos="426"/>
        </w:tabs>
        <w:spacing w:after="40" w:line="264" w:lineRule="auto"/>
        <w:contextualSpacing/>
        <w:jc w:val="both"/>
        <w:rPr>
          <w:rFonts w:ascii="Times New Roman" w:hAnsi="Times New Roman" w:cs="Times New Roman"/>
        </w:rPr>
      </w:pPr>
      <w:r w:rsidRPr="005D78C4">
        <w:rPr>
          <w:rFonts w:ascii="Times New Roman" w:hAnsi="Times New Roman" w:cs="Times New Roman"/>
        </w:rPr>
        <w:t xml:space="preserve">Осигуряване на защита срещу споразумения, решения и съгласувана практика, които могат да доведат до предотвратяване, ограничаване или нарушаване на конкуренцията; </w:t>
      </w:r>
    </w:p>
    <w:p w14:paraId="57C7B8F1" w14:textId="77777777" w:rsidR="00CC4C66" w:rsidRPr="005D78C4" w:rsidRDefault="00C233D6" w:rsidP="00DB66D9">
      <w:pPr>
        <w:pStyle w:val="ListParagraph"/>
        <w:numPr>
          <w:ilvl w:val="0"/>
          <w:numId w:val="10"/>
        </w:numPr>
        <w:tabs>
          <w:tab w:val="left" w:pos="426"/>
        </w:tabs>
        <w:spacing w:after="40" w:line="264" w:lineRule="auto"/>
        <w:contextualSpacing/>
        <w:jc w:val="both"/>
        <w:rPr>
          <w:rFonts w:ascii="Times New Roman" w:hAnsi="Times New Roman" w:cs="Times New Roman"/>
        </w:rPr>
      </w:pPr>
      <w:r w:rsidRPr="005D78C4">
        <w:rPr>
          <w:rFonts w:ascii="Times New Roman" w:hAnsi="Times New Roman" w:cs="Times New Roman"/>
        </w:rPr>
        <w:t>Осигуряване на защита срещу нелоялна конкуренция и други действия, които могат да доведат до предотвратяване, ограничаване или нарушаване на конкуренцията;</w:t>
      </w:r>
    </w:p>
    <w:p w14:paraId="240ED47D" w14:textId="77777777" w:rsidR="00CC4C66" w:rsidRPr="005D78C4" w:rsidRDefault="00C233D6" w:rsidP="00DB66D9">
      <w:pPr>
        <w:pStyle w:val="ListParagraph"/>
        <w:numPr>
          <w:ilvl w:val="0"/>
          <w:numId w:val="10"/>
        </w:numPr>
        <w:tabs>
          <w:tab w:val="left" w:pos="426"/>
        </w:tabs>
        <w:spacing w:after="40" w:line="264" w:lineRule="auto"/>
        <w:contextualSpacing/>
        <w:jc w:val="both"/>
        <w:rPr>
          <w:rFonts w:ascii="Times New Roman" w:hAnsi="Times New Roman" w:cs="Times New Roman"/>
        </w:rPr>
      </w:pPr>
      <w:r w:rsidRPr="005D78C4">
        <w:rPr>
          <w:rFonts w:ascii="Times New Roman" w:hAnsi="Times New Roman" w:cs="Times New Roman"/>
        </w:rPr>
        <w:t xml:space="preserve">Осигуряване на защита срещу злоупотреба с монополно и господстващо положение на пазара; </w:t>
      </w:r>
    </w:p>
    <w:p w14:paraId="67FA7834" w14:textId="77777777" w:rsidR="00CC4C66" w:rsidRPr="005D78C4" w:rsidRDefault="00C233D6" w:rsidP="00DB66D9">
      <w:pPr>
        <w:pStyle w:val="ListParagraph"/>
        <w:numPr>
          <w:ilvl w:val="0"/>
          <w:numId w:val="10"/>
        </w:numPr>
        <w:tabs>
          <w:tab w:val="left" w:pos="426"/>
        </w:tabs>
        <w:spacing w:after="40" w:line="264" w:lineRule="auto"/>
        <w:ind w:left="714" w:hanging="357"/>
        <w:contextualSpacing/>
        <w:jc w:val="both"/>
        <w:rPr>
          <w:rFonts w:ascii="Times New Roman" w:hAnsi="Times New Roman" w:cs="Times New Roman"/>
        </w:rPr>
      </w:pPr>
      <w:r w:rsidRPr="005D78C4">
        <w:rPr>
          <w:rFonts w:ascii="Times New Roman" w:hAnsi="Times New Roman" w:cs="Times New Roman"/>
        </w:rPr>
        <w:t>Осъществяване на контрол върху концентрациите на предприятия, с цел предотвратяване на сделки, които водят до установяване или засилване на господстващо положение, което значително би попречило на ефективната конкуренция на съответния пазар;</w:t>
      </w:r>
    </w:p>
    <w:p w14:paraId="0EE256F5" w14:textId="77777777" w:rsidR="00CC4C66" w:rsidRPr="005D78C4" w:rsidRDefault="00C233D6" w:rsidP="00DB66D9">
      <w:pPr>
        <w:pStyle w:val="ListParagraph"/>
        <w:numPr>
          <w:ilvl w:val="0"/>
          <w:numId w:val="10"/>
        </w:numPr>
        <w:tabs>
          <w:tab w:val="left" w:pos="426"/>
        </w:tabs>
        <w:spacing w:after="40" w:line="264" w:lineRule="auto"/>
        <w:contextualSpacing/>
        <w:jc w:val="both"/>
        <w:rPr>
          <w:rFonts w:ascii="Times New Roman" w:hAnsi="Times New Roman" w:cs="Times New Roman"/>
        </w:rPr>
      </w:pPr>
      <w:r w:rsidRPr="005D78C4">
        <w:rPr>
          <w:rFonts w:ascii="Times New Roman" w:hAnsi="Times New Roman" w:cs="Times New Roman"/>
        </w:rPr>
        <w:t>Избягване в</w:t>
      </w:r>
      <w:r w:rsidR="00030F08" w:rsidRPr="005D78C4">
        <w:rPr>
          <w:rFonts w:ascii="Times New Roman" w:hAnsi="Times New Roman" w:cs="Times New Roman"/>
        </w:rPr>
        <w:t>ъвеждането на разпоредби, които</w:t>
      </w:r>
      <w:r w:rsidRPr="005D78C4">
        <w:rPr>
          <w:rFonts w:ascii="Times New Roman" w:hAnsi="Times New Roman" w:cs="Times New Roman"/>
        </w:rPr>
        <w:t xml:space="preserve"> неоправдано ограничават свободната стопанска инициатива и лишават потребителите от преимуществата на ефективен и работещ пазар;</w:t>
      </w:r>
    </w:p>
    <w:p w14:paraId="1C2EB658" w14:textId="18521F45" w:rsidR="00CC4C66" w:rsidRPr="005D78C4" w:rsidRDefault="00C233D6" w:rsidP="00DB66D9">
      <w:pPr>
        <w:pStyle w:val="ListParagraph"/>
        <w:numPr>
          <w:ilvl w:val="0"/>
          <w:numId w:val="10"/>
        </w:numPr>
        <w:tabs>
          <w:tab w:val="left" w:pos="426"/>
        </w:tabs>
        <w:spacing w:after="40" w:line="264" w:lineRule="auto"/>
        <w:contextualSpacing/>
        <w:jc w:val="both"/>
        <w:rPr>
          <w:rFonts w:ascii="Times New Roman" w:hAnsi="Times New Roman" w:cs="Times New Roman"/>
        </w:rPr>
      </w:pPr>
      <w:r w:rsidRPr="005D78C4">
        <w:rPr>
          <w:rFonts w:ascii="Times New Roman" w:hAnsi="Times New Roman" w:cs="Times New Roman"/>
        </w:rPr>
        <w:t>Извършване на мониторинг и анализ на конкурентната среда на сектори, отрасли, подотрасли, в които конкуренцията може да бъде предотвратена, ограничена или нарушена;</w:t>
      </w:r>
    </w:p>
    <w:p w14:paraId="4716106E" w14:textId="77777777" w:rsidR="00CC4C66" w:rsidRPr="005D78C4" w:rsidRDefault="00C233D6" w:rsidP="00DB66D9">
      <w:pPr>
        <w:pStyle w:val="ListParagraph"/>
        <w:numPr>
          <w:ilvl w:val="0"/>
          <w:numId w:val="10"/>
        </w:numPr>
        <w:tabs>
          <w:tab w:val="left" w:pos="426"/>
        </w:tabs>
        <w:spacing w:after="40" w:line="264" w:lineRule="auto"/>
        <w:contextualSpacing/>
        <w:jc w:val="both"/>
        <w:rPr>
          <w:rFonts w:ascii="Times New Roman" w:hAnsi="Times New Roman" w:cs="Times New Roman"/>
        </w:rPr>
      </w:pPr>
      <w:r w:rsidRPr="005D78C4">
        <w:rPr>
          <w:rFonts w:ascii="Times New Roman" w:hAnsi="Times New Roman" w:cs="Times New Roman"/>
        </w:rPr>
        <w:t>Гарантирано и непротиворечиво прилагане на европейските правила на конкуренция и на общностното право в областта на антитръста;</w:t>
      </w:r>
    </w:p>
    <w:p w14:paraId="34812A39" w14:textId="77777777" w:rsidR="00CC4C66" w:rsidRPr="005D78C4" w:rsidRDefault="00C233D6" w:rsidP="00DB66D9">
      <w:pPr>
        <w:pStyle w:val="ListParagraph"/>
        <w:numPr>
          <w:ilvl w:val="0"/>
          <w:numId w:val="10"/>
        </w:numPr>
        <w:tabs>
          <w:tab w:val="left" w:pos="426"/>
        </w:tabs>
        <w:spacing w:after="40" w:line="264" w:lineRule="auto"/>
        <w:contextualSpacing/>
        <w:jc w:val="both"/>
        <w:rPr>
          <w:rFonts w:ascii="Times New Roman" w:hAnsi="Times New Roman" w:cs="Times New Roman"/>
        </w:rPr>
      </w:pPr>
      <w:r w:rsidRPr="005D78C4">
        <w:rPr>
          <w:rFonts w:ascii="Times New Roman" w:hAnsi="Times New Roman" w:cs="Times New Roman"/>
        </w:rPr>
        <w:t>Повишаване на информираността на обществото и стопанските субекти за правилата в областта на конкуренцията.</w:t>
      </w:r>
    </w:p>
    <w:p w14:paraId="5A3D9383" w14:textId="77777777" w:rsidR="00CC4C66" w:rsidRPr="005D78C4" w:rsidRDefault="00C233D6" w:rsidP="00DB66D9">
      <w:pPr>
        <w:pStyle w:val="ListParagraph"/>
        <w:numPr>
          <w:ilvl w:val="0"/>
          <w:numId w:val="10"/>
        </w:numPr>
        <w:tabs>
          <w:tab w:val="left" w:pos="426"/>
        </w:tabs>
        <w:spacing w:after="40" w:line="264" w:lineRule="auto"/>
        <w:contextualSpacing/>
        <w:jc w:val="both"/>
        <w:rPr>
          <w:rFonts w:ascii="Times New Roman" w:hAnsi="Times New Roman" w:cs="Times New Roman"/>
        </w:rPr>
      </w:pPr>
      <w:r w:rsidRPr="005D78C4">
        <w:rPr>
          <w:rFonts w:ascii="Times New Roman" w:hAnsi="Times New Roman" w:cs="Times New Roman"/>
        </w:rPr>
        <w:t xml:space="preserve">Осигуряване на защита срещу незаконосъобразни решения, действия и бездействия на възложителите на обществени поръчки. </w:t>
      </w:r>
    </w:p>
    <w:p w14:paraId="65FE72D8" w14:textId="60189A3A" w:rsidR="001F65BE" w:rsidRPr="005D78C4" w:rsidRDefault="00C233D6" w:rsidP="00DB66D9">
      <w:pPr>
        <w:pStyle w:val="ListParagraph"/>
        <w:numPr>
          <w:ilvl w:val="0"/>
          <w:numId w:val="10"/>
        </w:numPr>
        <w:tabs>
          <w:tab w:val="left" w:pos="426"/>
        </w:tabs>
        <w:spacing w:after="40" w:line="264" w:lineRule="auto"/>
        <w:contextualSpacing/>
        <w:jc w:val="both"/>
        <w:rPr>
          <w:rFonts w:ascii="Times New Roman" w:hAnsi="Times New Roman" w:cs="Times New Roman"/>
        </w:rPr>
      </w:pPr>
      <w:r w:rsidRPr="005D78C4">
        <w:rPr>
          <w:rFonts w:ascii="Times New Roman" w:hAnsi="Times New Roman" w:cs="Times New Roman"/>
        </w:rPr>
        <w:t xml:space="preserve">Осигуряване на защита срещу незаконосъобразни решения, действия и бездействия на концедентите. </w:t>
      </w:r>
    </w:p>
    <w:p w14:paraId="2AE1896D" w14:textId="7AAC8D09" w:rsidR="001F65BE" w:rsidRPr="005D78C4" w:rsidRDefault="001F65BE" w:rsidP="00DB66D9">
      <w:pPr>
        <w:pStyle w:val="ListParagraph"/>
        <w:tabs>
          <w:tab w:val="left" w:pos="426"/>
        </w:tabs>
        <w:spacing w:after="40" w:line="264" w:lineRule="auto"/>
        <w:ind w:left="720"/>
        <w:contextualSpacing/>
        <w:jc w:val="both"/>
        <w:rPr>
          <w:rFonts w:ascii="Times New Roman" w:hAnsi="Times New Roman" w:cs="Times New Roman"/>
        </w:rPr>
      </w:pPr>
    </w:p>
    <w:p w14:paraId="532B48D5" w14:textId="77777777" w:rsidR="004635A4" w:rsidRPr="005D78C4" w:rsidRDefault="00A37AE7" w:rsidP="00DB66D9">
      <w:pPr>
        <w:spacing w:after="40" w:line="264" w:lineRule="auto"/>
        <w:jc w:val="both"/>
        <w:rPr>
          <w:rFonts w:ascii="Times New Roman" w:hAnsi="Times New Roman" w:cs="Times New Roman"/>
          <w:b/>
          <w:i/>
          <w:sz w:val="24"/>
          <w:szCs w:val="24"/>
        </w:rPr>
      </w:pPr>
      <w:r w:rsidRPr="005D78C4">
        <w:rPr>
          <w:rFonts w:ascii="Times New Roman" w:hAnsi="Times New Roman" w:cs="Times New Roman"/>
          <w:b/>
          <w:i/>
          <w:sz w:val="24"/>
          <w:szCs w:val="24"/>
        </w:rPr>
        <w:t xml:space="preserve">б) </w:t>
      </w:r>
      <w:r w:rsidR="004635A4" w:rsidRPr="005D78C4">
        <w:rPr>
          <w:rFonts w:ascii="Times New Roman" w:hAnsi="Times New Roman" w:cs="Times New Roman"/>
          <w:b/>
          <w:i/>
          <w:sz w:val="24"/>
          <w:szCs w:val="24"/>
        </w:rPr>
        <w:t>Пост</w:t>
      </w:r>
      <w:r w:rsidR="00E30400" w:rsidRPr="005D78C4">
        <w:rPr>
          <w:rFonts w:ascii="Times New Roman" w:hAnsi="Times New Roman" w:cs="Times New Roman"/>
          <w:b/>
          <w:i/>
          <w:sz w:val="24"/>
          <w:szCs w:val="24"/>
        </w:rPr>
        <w:t xml:space="preserve">игнати резултати по </w:t>
      </w:r>
      <w:r w:rsidR="003B6917" w:rsidRPr="005D78C4">
        <w:rPr>
          <w:rFonts w:ascii="Times New Roman" w:hAnsi="Times New Roman" w:cs="Times New Roman"/>
          <w:b/>
          <w:i/>
          <w:sz w:val="24"/>
          <w:szCs w:val="24"/>
        </w:rPr>
        <w:t xml:space="preserve">предоставяните </w:t>
      </w:r>
      <w:r w:rsidR="004635A4" w:rsidRPr="005D78C4">
        <w:rPr>
          <w:rFonts w:ascii="Times New Roman" w:hAnsi="Times New Roman" w:cs="Times New Roman"/>
          <w:b/>
          <w:i/>
          <w:sz w:val="24"/>
          <w:szCs w:val="24"/>
        </w:rPr>
        <w:t>услуги</w:t>
      </w:r>
      <w:r w:rsidR="00E30400" w:rsidRPr="005D78C4">
        <w:rPr>
          <w:rFonts w:ascii="Times New Roman" w:hAnsi="Times New Roman" w:cs="Times New Roman"/>
          <w:b/>
          <w:i/>
          <w:sz w:val="24"/>
          <w:szCs w:val="24"/>
        </w:rPr>
        <w:t>,</w:t>
      </w:r>
      <w:r w:rsidR="00570909" w:rsidRPr="005D78C4">
        <w:rPr>
          <w:rFonts w:ascii="Times New Roman" w:hAnsi="Times New Roman" w:cs="Times New Roman"/>
          <w:b/>
          <w:i/>
          <w:sz w:val="24"/>
          <w:szCs w:val="24"/>
        </w:rPr>
        <w:t xml:space="preserve"> </w:t>
      </w:r>
      <w:r w:rsidR="00E30400" w:rsidRPr="005D78C4">
        <w:rPr>
          <w:rFonts w:ascii="Times New Roman" w:hAnsi="Times New Roman" w:cs="Times New Roman"/>
          <w:b/>
          <w:i/>
          <w:sz w:val="24"/>
          <w:szCs w:val="24"/>
        </w:rPr>
        <w:t>заложени в</w:t>
      </w:r>
      <w:r w:rsidR="00570909" w:rsidRPr="005D78C4">
        <w:rPr>
          <w:rFonts w:ascii="Times New Roman" w:hAnsi="Times New Roman" w:cs="Times New Roman"/>
          <w:b/>
          <w:i/>
          <w:sz w:val="24"/>
          <w:szCs w:val="24"/>
        </w:rPr>
        <w:t xml:space="preserve"> бюджетната програма:</w:t>
      </w:r>
    </w:p>
    <w:p w14:paraId="3E95EB45" w14:textId="01271A95" w:rsidR="003B381F" w:rsidRPr="005D78C4" w:rsidRDefault="00C233D6" w:rsidP="00DB66D9">
      <w:pPr>
        <w:pStyle w:val="ListParagraph"/>
        <w:numPr>
          <w:ilvl w:val="0"/>
          <w:numId w:val="6"/>
        </w:numPr>
        <w:spacing w:after="40" w:line="264" w:lineRule="auto"/>
        <w:jc w:val="both"/>
        <w:rPr>
          <w:rFonts w:ascii="Times New Roman" w:hAnsi="Times New Roman" w:cs="Times New Roman"/>
          <w:b/>
        </w:rPr>
      </w:pPr>
      <w:r w:rsidRPr="005D78C4">
        <w:rPr>
          <w:rFonts w:ascii="Times New Roman" w:hAnsi="Times New Roman" w:cs="Times New Roman"/>
          <w:b/>
        </w:rPr>
        <w:t xml:space="preserve">Издаване на индивидуални административни актове по Закона за защита на конкуренцията; </w:t>
      </w:r>
    </w:p>
    <w:p w14:paraId="54338119" w14:textId="77777777" w:rsidR="007954E2" w:rsidRPr="005D78C4" w:rsidRDefault="007954E2" w:rsidP="00DB66D9">
      <w:pPr>
        <w:pStyle w:val="ListParagraph"/>
        <w:spacing w:after="40" w:line="264" w:lineRule="auto"/>
        <w:ind w:left="720"/>
        <w:jc w:val="both"/>
        <w:rPr>
          <w:rFonts w:ascii="Times New Roman" w:hAnsi="Times New Roman" w:cs="Times New Roman"/>
          <w:b/>
        </w:rPr>
      </w:pPr>
    </w:p>
    <w:p w14:paraId="236084D2" w14:textId="6CE522B2" w:rsidR="007954E2" w:rsidRPr="005D78C4" w:rsidRDefault="007954E2" w:rsidP="00DB66D9">
      <w:pPr>
        <w:numPr>
          <w:ilvl w:val="0"/>
          <w:numId w:val="12"/>
        </w:numPr>
        <w:spacing w:after="40" w:line="264" w:lineRule="auto"/>
        <w:ind w:left="1134" w:hanging="425"/>
        <w:jc w:val="both"/>
        <w:rPr>
          <w:rFonts w:ascii="Times New Roman" w:hAnsi="Times New Roman" w:cs="Times New Roman"/>
          <w:b/>
          <w:sz w:val="24"/>
          <w:szCs w:val="24"/>
        </w:rPr>
      </w:pPr>
      <w:r w:rsidRPr="005D78C4">
        <w:rPr>
          <w:rFonts w:ascii="Times New Roman" w:hAnsi="Times New Roman" w:cs="Times New Roman"/>
          <w:b/>
          <w:sz w:val="24"/>
          <w:szCs w:val="24"/>
        </w:rPr>
        <w:t>Решения и Определения по  Глава ІІ</w:t>
      </w:r>
      <w:r w:rsidRPr="005D78C4">
        <w:rPr>
          <w:rFonts w:ascii="Times New Roman" w:hAnsi="Times New Roman" w:cs="Times New Roman"/>
          <w:b/>
          <w:sz w:val="24"/>
          <w:szCs w:val="24"/>
          <w:lang w:val="en-US"/>
        </w:rPr>
        <w:t>I</w:t>
      </w:r>
      <w:r w:rsidRPr="005D78C4">
        <w:rPr>
          <w:rFonts w:ascii="Times New Roman" w:hAnsi="Times New Roman" w:cs="Times New Roman"/>
          <w:b/>
          <w:sz w:val="24"/>
          <w:szCs w:val="24"/>
        </w:rPr>
        <w:t xml:space="preserve">  и по Глава </w:t>
      </w:r>
      <w:r w:rsidRPr="005D78C4">
        <w:rPr>
          <w:rFonts w:ascii="Times New Roman" w:hAnsi="Times New Roman" w:cs="Times New Roman"/>
          <w:b/>
          <w:sz w:val="24"/>
          <w:szCs w:val="24"/>
          <w:lang w:val="en-US"/>
        </w:rPr>
        <w:t>I</w:t>
      </w:r>
      <w:r w:rsidRPr="005D78C4">
        <w:rPr>
          <w:rFonts w:ascii="Times New Roman" w:hAnsi="Times New Roman" w:cs="Times New Roman"/>
          <w:b/>
          <w:sz w:val="24"/>
          <w:szCs w:val="24"/>
        </w:rPr>
        <w:t>V от ЗЗК</w:t>
      </w:r>
    </w:p>
    <w:p w14:paraId="0E3503F9" w14:textId="207ED716" w:rsidR="007954E2" w:rsidRPr="005D78C4" w:rsidRDefault="007954E2" w:rsidP="00DB66D9">
      <w:pPr>
        <w:numPr>
          <w:ilvl w:val="0"/>
          <w:numId w:val="16"/>
        </w:numPr>
        <w:spacing w:after="40" w:line="264" w:lineRule="auto"/>
        <w:ind w:left="1134" w:hanging="425"/>
        <w:rPr>
          <w:rFonts w:ascii="Times New Roman" w:hAnsi="Times New Roman" w:cs="Times New Roman"/>
          <w:b/>
          <w:sz w:val="24"/>
          <w:szCs w:val="24"/>
        </w:rPr>
      </w:pPr>
      <w:r w:rsidRPr="005D78C4">
        <w:rPr>
          <w:rFonts w:ascii="Times New Roman" w:hAnsi="Times New Roman" w:cs="Times New Roman"/>
          <w:b/>
          <w:sz w:val="24"/>
          <w:szCs w:val="24"/>
        </w:rPr>
        <w:t xml:space="preserve">Забранени споразумения, решения и съгласувани практики (Глава </w:t>
      </w:r>
      <w:r w:rsidRPr="005D78C4">
        <w:rPr>
          <w:rFonts w:ascii="Times New Roman" w:hAnsi="Times New Roman" w:cs="Times New Roman"/>
          <w:b/>
          <w:sz w:val="24"/>
          <w:szCs w:val="24"/>
          <w:lang w:val="en-US"/>
        </w:rPr>
        <w:t>III</w:t>
      </w:r>
      <w:r w:rsidRPr="005D78C4">
        <w:rPr>
          <w:rFonts w:ascii="Times New Roman" w:hAnsi="Times New Roman" w:cs="Times New Roman"/>
          <w:b/>
          <w:sz w:val="24"/>
          <w:szCs w:val="24"/>
        </w:rPr>
        <w:t xml:space="preserve"> от ЗЗК)</w:t>
      </w:r>
    </w:p>
    <w:p w14:paraId="3FCDC4DF" w14:textId="77777777" w:rsidR="00C37B37" w:rsidRPr="005D78C4" w:rsidRDefault="00C37B37" w:rsidP="00DB66D9">
      <w:pPr>
        <w:spacing w:after="40" w:line="264" w:lineRule="auto"/>
        <w:ind w:firstLine="709"/>
        <w:jc w:val="both"/>
        <w:rPr>
          <w:rFonts w:ascii="Times New Roman" w:eastAsia="Calibri" w:hAnsi="Times New Roman" w:cs="Times New Roman"/>
          <w:sz w:val="24"/>
          <w:szCs w:val="24"/>
          <w:lang w:eastAsia="bg-BG"/>
        </w:rPr>
      </w:pPr>
      <w:r w:rsidRPr="005D78C4">
        <w:rPr>
          <w:rFonts w:ascii="Times New Roman" w:eastAsia="Calibri" w:hAnsi="Times New Roman" w:cs="Times New Roman"/>
          <w:sz w:val="24"/>
          <w:szCs w:val="24"/>
          <w:lang w:eastAsia="bg-BG"/>
        </w:rPr>
        <w:lastRenderedPageBreak/>
        <w:t xml:space="preserve">През първото шестмесечие на 2025 г. </w:t>
      </w:r>
      <w:r w:rsidRPr="005D78C4">
        <w:rPr>
          <w:rFonts w:ascii="Times New Roman" w:eastAsia="Calibri" w:hAnsi="Times New Roman" w:cs="Times New Roman"/>
          <w:b/>
          <w:sz w:val="24"/>
          <w:szCs w:val="24"/>
          <w:lang w:eastAsia="bg-BG"/>
        </w:rPr>
        <w:t>Комисията образува 3 производства</w:t>
      </w:r>
      <w:r w:rsidRPr="005D78C4">
        <w:rPr>
          <w:rStyle w:val="FootnoteReference"/>
          <w:rFonts w:ascii="Times New Roman" w:eastAsia="Calibri" w:hAnsi="Times New Roman" w:cs="Times New Roman"/>
          <w:b/>
          <w:sz w:val="24"/>
          <w:szCs w:val="24"/>
          <w:lang w:eastAsia="bg-BG"/>
        </w:rPr>
        <w:footnoteReference w:id="1"/>
      </w:r>
      <w:r w:rsidRPr="005D78C4">
        <w:rPr>
          <w:rFonts w:ascii="Times New Roman" w:eastAsia="Calibri" w:hAnsi="Times New Roman" w:cs="Times New Roman"/>
          <w:sz w:val="24"/>
          <w:szCs w:val="24"/>
          <w:lang w:eastAsia="bg-BG"/>
        </w:rPr>
        <w:t xml:space="preserve">, които имат за предмет установяване наличието или липсата на нарушение по Глава трета „Забранени споразумения, решения и съгласувани практики“ от ЗЗК и/или по чл. 101 от Договора за Функциониране на Европейския Съюз (ДФЕС). </w:t>
      </w:r>
    </w:p>
    <w:p w14:paraId="54066837" w14:textId="77777777" w:rsidR="00C37B37" w:rsidRPr="005D78C4" w:rsidRDefault="00C37B37" w:rsidP="00DB66D9">
      <w:pPr>
        <w:spacing w:after="40" w:line="264" w:lineRule="auto"/>
        <w:ind w:firstLine="709"/>
        <w:jc w:val="both"/>
        <w:rPr>
          <w:rFonts w:ascii="Times New Roman" w:eastAsia="Calibri" w:hAnsi="Times New Roman" w:cs="Times New Roman"/>
          <w:sz w:val="24"/>
          <w:szCs w:val="24"/>
          <w:lang w:eastAsia="bg-BG"/>
        </w:rPr>
      </w:pPr>
      <w:r w:rsidRPr="005D78C4">
        <w:rPr>
          <w:rFonts w:ascii="Times New Roman" w:eastAsia="Calibri" w:hAnsi="Times New Roman" w:cs="Times New Roman"/>
          <w:sz w:val="24"/>
          <w:szCs w:val="24"/>
          <w:lang w:eastAsia="bg-BG"/>
        </w:rPr>
        <w:t>Едното производството е образувано на основание чл. 38, ал. 1, т. 3 от ЗЗК по искане на засегнато лице, както по чл. 15 от ЗЗК, така и по чл. 101 от ДФЕС и касае евентуално извършено нарушение от страна на „Евромаркет кънстракшън“ ЕАД, „Екосол България“ АД, „Си Ем Ел България“ АД и „Интеринструменти“ ООД, изразяващо се в забранено споразумение и/или съгласувана практика при манипулиране на процедури за възлагане на обществени поръчки за доставка и/или други дейности свързани със специализирана техника за нуждите на различни възложители.</w:t>
      </w:r>
    </w:p>
    <w:p w14:paraId="14D8F195" w14:textId="77777777" w:rsidR="00C37B37" w:rsidRPr="005D78C4" w:rsidRDefault="00C37B37" w:rsidP="00DB66D9">
      <w:pPr>
        <w:spacing w:after="40" w:line="264" w:lineRule="auto"/>
        <w:ind w:firstLine="708"/>
        <w:jc w:val="both"/>
        <w:rPr>
          <w:rFonts w:ascii="Times New Roman" w:eastAsia="Calibri" w:hAnsi="Times New Roman" w:cs="Times New Roman"/>
          <w:sz w:val="24"/>
          <w:szCs w:val="24"/>
          <w:lang w:eastAsia="bg-BG"/>
        </w:rPr>
      </w:pPr>
      <w:r w:rsidRPr="005D78C4">
        <w:rPr>
          <w:rFonts w:ascii="Times New Roman" w:eastAsia="Calibri" w:hAnsi="Times New Roman" w:cs="Times New Roman"/>
          <w:sz w:val="24"/>
          <w:szCs w:val="24"/>
          <w:lang w:eastAsia="bg-BG"/>
        </w:rPr>
        <w:t>Другите две производство са образувани на основание чл. 38, ал. 1, т. 3 от ЗЗК по искане на засегнато лице, както по чл. 15 и по чл. 21 от ЗЗК, така и по чл. 101 и по чл. 102 от ДФЕС. Предмет на проучване на едното производство, касае  евентуално извършено нарушение от страна на Нова Броудкастинг Груп ЕООД и е свързано с</w:t>
      </w:r>
      <w:r w:rsidRPr="005D78C4">
        <w:rPr>
          <w:rFonts w:ascii="Times New Roman" w:eastAsia="Times New Roman" w:hAnsi="Times New Roman" w:cs="Times New Roman"/>
          <w:sz w:val="24"/>
          <w:szCs w:val="24"/>
          <w:shd w:val="clear" w:color="auto" w:fill="FFFFFF"/>
          <w:lang w:eastAsia="hi-IN"/>
        </w:rPr>
        <w:t xml:space="preserve"> налагане на необосновано високи ценови условия за достъп на едро на разпространителите на телевизионно съдържание и с необоснован отказ за сключване на договор, с което възпрепятства търговската дейност на искателя, както и дискриминиране на разпространителите на телевизионно съдържание.</w:t>
      </w:r>
    </w:p>
    <w:p w14:paraId="61B88E4F" w14:textId="77777777" w:rsidR="00C37B37" w:rsidRPr="005D78C4" w:rsidRDefault="00C37B37" w:rsidP="00DB66D9">
      <w:pPr>
        <w:spacing w:after="40" w:line="264" w:lineRule="auto"/>
        <w:ind w:firstLine="709"/>
        <w:jc w:val="both"/>
        <w:rPr>
          <w:rFonts w:ascii="Times New Roman" w:eastAsia="Calibri" w:hAnsi="Times New Roman" w:cs="Times New Roman"/>
          <w:sz w:val="24"/>
          <w:szCs w:val="24"/>
          <w:lang w:eastAsia="bg-BG"/>
        </w:rPr>
      </w:pPr>
      <w:r w:rsidRPr="005D78C4">
        <w:rPr>
          <w:rFonts w:ascii="Times New Roman" w:eastAsia="Calibri" w:hAnsi="Times New Roman" w:cs="Times New Roman"/>
          <w:sz w:val="24"/>
          <w:szCs w:val="24"/>
          <w:lang w:eastAsia="bg-BG"/>
        </w:rPr>
        <w:t xml:space="preserve">Другото производство е свързано с проучване на твърдения за </w:t>
      </w:r>
      <w:r w:rsidRPr="005D78C4">
        <w:rPr>
          <w:rFonts w:ascii="Times New Roman" w:hAnsi="Times New Roman" w:cs="Times New Roman"/>
          <w:sz w:val="24"/>
          <w:szCs w:val="24"/>
        </w:rPr>
        <w:t xml:space="preserve">извършено нарушение от страна на </w:t>
      </w:r>
      <w:r w:rsidRPr="005D78C4">
        <w:rPr>
          <w:rFonts w:ascii="Times New Roman" w:eastAsia="Times New Roman" w:hAnsi="Times New Roman" w:cs="Times New Roman"/>
          <w:sz w:val="24"/>
          <w:szCs w:val="24"/>
          <w:lang w:eastAsia="bg-BG"/>
        </w:rPr>
        <w:t xml:space="preserve">„Виваком България“ ЕАД, изразяващо се  в </w:t>
      </w:r>
      <w:r w:rsidRPr="005D78C4">
        <w:rPr>
          <w:rFonts w:ascii="Times New Roman" w:eastAsia="Calibri" w:hAnsi="Times New Roman" w:cs="Times New Roman"/>
          <w:sz w:val="24"/>
          <w:szCs w:val="24"/>
        </w:rPr>
        <w:t xml:space="preserve">недопускане на предприятието, подател на искането „Добруджа Кабел“ ЕООД до електро-съобщителната мрежа на </w:t>
      </w:r>
      <w:r w:rsidRPr="005D78C4">
        <w:rPr>
          <w:rFonts w:ascii="Times New Roman" w:eastAsia="Times New Roman" w:hAnsi="Times New Roman" w:cs="Times New Roman"/>
          <w:sz w:val="24"/>
          <w:szCs w:val="24"/>
          <w:lang w:eastAsia="bg-BG"/>
        </w:rPr>
        <w:t xml:space="preserve">„Виваком България“ ЕАД и </w:t>
      </w:r>
      <w:r w:rsidRPr="005D78C4">
        <w:rPr>
          <w:rFonts w:ascii="Times New Roman" w:eastAsia="Calibri" w:hAnsi="Times New Roman" w:cs="Times New Roman"/>
          <w:sz w:val="24"/>
          <w:szCs w:val="24"/>
        </w:rPr>
        <w:t>поставянето му в неравноправно пазарно положение в сравнение с останалите доставчици на програми с политематично съдържание.</w:t>
      </w:r>
    </w:p>
    <w:p w14:paraId="00385AD9" w14:textId="77777777" w:rsidR="00C37B37" w:rsidRPr="005D78C4" w:rsidRDefault="00C37B37" w:rsidP="00DB66D9">
      <w:pPr>
        <w:spacing w:after="40" w:line="264" w:lineRule="auto"/>
        <w:ind w:firstLine="709"/>
        <w:jc w:val="both"/>
        <w:rPr>
          <w:rFonts w:ascii="Times New Roman" w:hAnsi="Times New Roman" w:cs="Times New Roman"/>
          <w:bCs/>
          <w:sz w:val="24"/>
          <w:szCs w:val="24"/>
          <w:shd w:val="clear" w:color="auto" w:fill="FFFFFF"/>
        </w:rPr>
      </w:pPr>
      <w:r w:rsidRPr="005D78C4">
        <w:rPr>
          <w:rFonts w:ascii="Times New Roman" w:eastAsia="Calibri" w:hAnsi="Times New Roman" w:cs="Times New Roman"/>
          <w:sz w:val="24"/>
          <w:szCs w:val="24"/>
        </w:rPr>
        <w:t xml:space="preserve">Във връзка с правомощията й по събиране на информация и с оглед предмета на посоченото по-горе производство, Комисията </w:t>
      </w:r>
      <w:r w:rsidRPr="005D78C4">
        <w:rPr>
          <w:rFonts w:ascii="Times New Roman" w:eastAsia="Calibri" w:hAnsi="Times New Roman" w:cs="Times New Roman"/>
          <w:b/>
          <w:sz w:val="24"/>
          <w:szCs w:val="24"/>
        </w:rPr>
        <w:t>извърши внезапни проверки на място в офисите на „Евромаркет кънстракшън“ ЕАД и „Екосол България“ АД.</w:t>
      </w:r>
      <w:r w:rsidRPr="005D78C4">
        <w:rPr>
          <w:rFonts w:ascii="Times New Roman" w:hAnsi="Times New Roman" w:cs="Times New Roman"/>
          <w:bCs/>
          <w:sz w:val="24"/>
          <w:szCs w:val="24"/>
          <w:shd w:val="clear" w:color="auto" w:fill="FFFFFF"/>
        </w:rPr>
        <w:t xml:space="preserve"> Правомощието на Комисията по чл. 50, ал. 2, т. 4 от ЗЗК да изземва или получава електронни, цифрови и форенсик доказателства е от особено значение за осигуряване на достъп до документи на електронен носител, съхранявани от предприятията, както и за достъп до тяхната електронна кореспонденция. Действията по проверките на място се извършиха от служители на КЗК, със съдействието на служители на МВР, след получено съдебно разрешение от Административен съд – София област. От офисите на проверяваните предприятия се иззеха копия на документи и електронна кореспонденция, както и бе иззета информация от две мобилни устройства на служители на проверяваните дружества, чрез специализиран форенсик софтуер, които Комисията предстои да анализира в детайли.</w:t>
      </w:r>
    </w:p>
    <w:p w14:paraId="0D01EAC3" w14:textId="77777777" w:rsidR="00C37B37" w:rsidRPr="005D78C4" w:rsidRDefault="00C37B37" w:rsidP="00DB66D9">
      <w:pPr>
        <w:spacing w:after="40" w:line="264" w:lineRule="auto"/>
        <w:ind w:firstLine="709"/>
        <w:jc w:val="both"/>
        <w:rPr>
          <w:rFonts w:ascii="Times New Roman" w:hAnsi="Times New Roman" w:cs="Times New Roman"/>
          <w:bCs/>
          <w:sz w:val="24"/>
          <w:szCs w:val="24"/>
          <w:shd w:val="clear" w:color="auto" w:fill="FFFFFF"/>
        </w:rPr>
      </w:pPr>
    </w:p>
    <w:p w14:paraId="1D97E999" w14:textId="77777777" w:rsidR="00C37B37" w:rsidRPr="005D78C4" w:rsidRDefault="00C37B37" w:rsidP="00DB66D9">
      <w:pPr>
        <w:shd w:val="clear" w:color="auto" w:fill="FFFFFF"/>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През първото полугодие на 2025 г. </w:t>
      </w:r>
      <w:r w:rsidRPr="005D78C4">
        <w:rPr>
          <w:rFonts w:ascii="Times New Roman" w:eastAsia="Times New Roman" w:hAnsi="Times New Roman" w:cs="Times New Roman"/>
          <w:b/>
          <w:sz w:val="24"/>
          <w:szCs w:val="24"/>
          <w:lang w:eastAsia="bg-BG"/>
        </w:rPr>
        <w:t xml:space="preserve">Комисията постанови 3 (три) решения </w:t>
      </w:r>
      <w:r w:rsidRPr="005D78C4">
        <w:rPr>
          <w:rFonts w:ascii="Times New Roman" w:eastAsia="Times New Roman" w:hAnsi="Times New Roman" w:cs="Times New Roman"/>
          <w:sz w:val="24"/>
          <w:szCs w:val="24"/>
          <w:lang w:eastAsia="bg-BG"/>
        </w:rPr>
        <w:t xml:space="preserve">във връзка с прилагането на чл. 15 от ЗЗК по производство, </w:t>
      </w:r>
      <w:r w:rsidRPr="005D78C4">
        <w:rPr>
          <w:rFonts w:ascii="Times New Roman" w:eastAsia="Calibri" w:hAnsi="Times New Roman" w:cs="Times New Roman"/>
          <w:sz w:val="24"/>
          <w:szCs w:val="24"/>
        </w:rPr>
        <w:t>образувани в периода 2021 г. - 2023 г.</w:t>
      </w:r>
    </w:p>
    <w:p w14:paraId="67E9619F" w14:textId="77777777" w:rsidR="00C37B37" w:rsidRPr="005D78C4" w:rsidRDefault="00C37B37" w:rsidP="00DB66D9">
      <w:pPr>
        <w:shd w:val="clear" w:color="auto" w:fill="FFFFFF"/>
        <w:spacing w:after="40" w:line="264" w:lineRule="auto"/>
        <w:ind w:firstLine="709"/>
        <w:jc w:val="both"/>
        <w:rPr>
          <w:rFonts w:ascii="Times New Roman" w:hAnsi="Times New Roman" w:cs="Times New Roman"/>
          <w:sz w:val="24"/>
          <w:szCs w:val="24"/>
        </w:rPr>
      </w:pPr>
      <w:r w:rsidRPr="005D78C4">
        <w:rPr>
          <w:rFonts w:ascii="Times New Roman" w:eastAsia="Times New Roman" w:hAnsi="Times New Roman" w:cs="Times New Roman"/>
          <w:b/>
          <w:sz w:val="24"/>
          <w:szCs w:val="24"/>
          <w:lang w:eastAsia="bg-BG"/>
        </w:rPr>
        <w:lastRenderedPageBreak/>
        <w:t xml:space="preserve">С Решение № </w:t>
      </w:r>
      <w:hyperlink r:id="rId12" w:history="1">
        <w:r w:rsidRPr="005D78C4">
          <w:rPr>
            <w:rFonts w:ascii="Times New Roman" w:eastAsia="Times New Roman" w:hAnsi="Times New Roman" w:cs="Times New Roman"/>
            <w:b/>
            <w:sz w:val="24"/>
            <w:szCs w:val="24"/>
            <w:lang w:eastAsia="bg-BG"/>
          </w:rPr>
          <w:t>81-23.01.2025</w:t>
        </w:r>
      </w:hyperlink>
      <w:r w:rsidRPr="005D78C4">
        <w:rPr>
          <w:rFonts w:ascii="Times New Roman" w:eastAsia="Times New Roman" w:hAnsi="Times New Roman" w:cs="Times New Roman"/>
          <w:b/>
          <w:sz w:val="24"/>
          <w:szCs w:val="24"/>
          <w:lang w:eastAsia="bg-BG"/>
        </w:rPr>
        <w:t xml:space="preserve"> г.</w:t>
      </w:r>
      <w:r w:rsidRPr="005D78C4">
        <w:rPr>
          <w:rFonts w:ascii="Times New Roman" w:hAnsi="Times New Roman" w:cs="Times New Roman"/>
          <w:sz w:val="24"/>
          <w:szCs w:val="24"/>
        </w:rPr>
        <w:t xml:space="preserve"> постановено по преписка № КЗК/209/2023 г.,</w:t>
      </w:r>
      <w:r w:rsidRPr="005D78C4">
        <w:rPr>
          <w:rFonts w:ascii="Times New Roman" w:eastAsia="Times New Roman" w:hAnsi="Times New Roman" w:cs="Times New Roman"/>
          <w:sz w:val="24"/>
          <w:szCs w:val="24"/>
          <w:lang w:eastAsia="bg-BG"/>
        </w:rPr>
        <w:t xml:space="preserve"> </w:t>
      </w:r>
      <w:r w:rsidRPr="005D78C4">
        <w:rPr>
          <w:rFonts w:ascii="Times New Roman" w:hAnsi="Times New Roman" w:cs="Times New Roman"/>
          <w:sz w:val="24"/>
          <w:szCs w:val="24"/>
        </w:rPr>
        <w:t xml:space="preserve">на основание чл. 60, ал. 1, т. 5 от ЗЗК във връзка с чл. 74, ал. 1, т. 1 </w:t>
      </w:r>
      <w:r w:rsidRPr="005D78C4">
        <w:rPr>
          <w:rFonts w:ascii="Times New Roman" w:eastAsia="Times New Roman" w:hAnsi="Times New Roman" w:cs="Times New Roman"/>
          <w:sz w:val="24"/>
          <w:szCs w:val="24"/>
          <w:lang w:eastAsia="bg-BG"/>
        </w:rPr>
        <w:t>от ЗЗК, Комисията установи,</w:t>
      </w:r>
      <w:r w:rsidRPr="005D78C4">
        <w:rPr>
          <w:rFonts w:ascii="Times New Roman" w:hAnsi="Times New Roman" w:cs="Times New Roman"/>
          <w:sz w:val="24"/>
          <w:szCs w:val="24"/>
        </w:rPr>
        <w:t xml:space="preserve"> че не е извършено нарушение по чл. 15, ал.1 от ЗЗК от страна на „БИЛЛА БЪЛГАРИЯ“ ЕООД, „ЛИДЛ БЪЛГАРИЯ ЕООД ЕНД КО“ КД, „КАУФЛАНД БЪЛГАРИЯ ЕООД ЕНД КО“ КД, „МАКСИМА БЪЛГАРИЯ“ ЕООД, „ПРОМАРКЕТ“ ООД, „ФАНТАСТИКО ГРУП” ООД и „МЕТРО КЕШ ЕНД КЕРИ БЪЛГАРИЯ“ ЕООД и че няма основание за предприемане на действия за извършено нарушение по чл. 101, пар.1 от ДФЕС. Със същото решение, Комисията установи, че не е извършено нарушение по чл. 15, ал. 1 от ЗЗК от Сдружение „СДРУЖЕНИЕ ЗА МОДЕРНА ТЪРГОВИЯ“ и че няма основание за предприемане на действия за извършено нарушение по чл. 101, пар.1 от ДФЕС. Комисията направи своите заключения на база извършен задълбочен икономически и правен анализ, въз основа на който бе установено, че основните ценообразуващи елементи, формиращи цената на дребно на анализираните в производството стоки са: доставната цена, търсен марж на печалба и ценовите нива на конкуренцията, търсенето на продукта и клиентската насоченост, както и предлагането и текущата пазарна ситуация. Ценовите промоции също оказват влияние върху крайната продажна цена. Фактори като намаляващи продажби, текущи наличности от продукта и изтичащ срок на годност също се отчитат в процеса на ценообразуване. Въз основа на информацията, която беше събрана в хода на проучването, се установи че маржът на печалба, който се прилага към отделните стокови групи, е различен и зависи от вида на стоките, тяхната обращаемост и най-вече от конюнктурата на пазара.</w:t>
      </w:r>
    </w:p>
    <w:p w14:paraId="7F52F38D" w14:textId="77777777" w:rsidR="00C37B37" w:rsidRPr="005D78C4" w:rsidRDefault="00C37B37" w:rsidP="00DB66D9">
      <w:pPr>
        <w:shd w:val="clear" w:color="auto" w:fill="FFFFFF"/>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Освен търговията на дребно, в рамките на това производство, Комисията разгледа и свързаните пазари по веригата, а именно пазарите на производство и доставка на бързооборотни стоки и пазара на дистрибуция (търговия на едро) на бързооборотни стоки. Установено бе, че се наблюдават съществени различия в размера на доставните цени за отделните търговски вериги, като веригите редуцират търсения марж на печалба с цел предлагане на атрактивна крайна продажна цена, близка до тази на конкурентите. За да могат да съхранят рентабилността от дейността си, търговските вериги се конкурират в рамките на цялата търговска гама от продукти, като работят с т. нар. глобален марж, при който за някои продукти може да се приложи почти нулева или дори отрицателна търговска надценка, докато за други продукти търговската надценка е по-висока.</w:t>
      </w:r>
    </w:p>
    <w:p w14:paraId="2C566834" w14:textId="77777777" w:rsidR="00C37B37" w:rsidRPr="005D78C4" w:rsidRDefault="00C37B37" w:rsidP="00DB66D9">
      <w:pPr>
        <w:shd w:val="clear" w:color="auto" w:fill="FFFFFF"/>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 xml:space="preserve">  При прозрачност на пазара, каквато е установена и при търговските вериги, изразяваща се в постоянно наблюдение на брошурите на конкурентите, онлайн каналите за търговия и цените на място в магазинната мрежа, където има високо ниво на информираност на клиентите за цената и характеристиките на продуктите, които са близки заместители, често се случва продавачите да коригират своята ценова политика спрямо нивото на конкуренцията. Информацията, до която дружествата имат достъп чрез извършвания постоянен мониторинг на цените, представлява публична информация, която е достъпна до неограничен брой лица и която е насочена към клиентите и потребителите и се отнася до актуални цени на стоките, които се предлагат в даден обект. Достъпът до тази информация не предполага необходимостта от установяване на специфична система за обмен, тъй като тази информация може да се събере директно от пазара. Предвид това, тази информация не носи белезите на стратегическа или чувствителна търговска информация. Освен това е установено, че несигурността във финансовите пазари, инфлацията, икономическа конюнктура, геополитическата конюнктура и климатичните аномалии са довели до по-високи разходи на всички нива  </w:t>
      </w:r>
      <w:r w:rsidRPr="005D78C4">
        <w:rPr>
          <w:rFonts w:ascii="Times New Roman" w:hAnsi="Times New Roman" w:cs="Times New Roman"/>
          <w:sz w:val="24"/>
          <w:szCs w:val="24"/>
        </w:rPr>
        <w:lastRenderedPageBreak/>
        <w:t>по веригата. Нарасналите разходи нагоре по веригата на доставка, както и увеличените разходи на търговските вериги, свързани с реализация на стоките - предмет на проучването, се установи, че се прехвърлят чрез търговците на дребно към крайния потребител.</w:t>
      </w:r>
    </w:p>
    <w:p w14:paraId="09E84FA9" w14:textId="77777777" w:rsidR="00C37B37" w:rsidRPr="005D78C4" w:rsidRDefault="00C37B37" w:rsidP="00DB66D9">
      <w:pPr>
        <w:shd w:val="clear" w:color="auto" w:fill="FFFFFF"/>
        <w:spacing w:after="40" w:line="264" w:lineRule="auto"/>
        <w:ind w:firstLine="709"/>
        <w:jc w:val="both"/>
        <w:rPr>
          <w:rFonts w:ascii="Times New Roman" w:hAnsi="Times New Roman" w:cs="Times New Roman"/>
          <w:sz w:val="24"/>
          <w:szCs w:val="24"/>
        </w:rPr>
      </w:pPr>
      <w:r w:rsidRPr="005D78C4">
        <w:rPr>
          <w:rFonts w:ascii="Times New Roman" w:eastAsia="Times New Roman" w:hAnsi="Times New Roman" w:cs="Times New Roman"/>
          <w:b/>
          <w:sz w:val="24"/>
          <w:szCs w:val="24"/>
          <w:lang w:eastAsia="bg-BG"/>
        </w:rPr>
        <w:t xml:space="preserve">С Решение № </w:t>
      </w:r>
      <w:hyperlink r:id="rId13" w:history="1">
        <w:r w:rsidRPr="005D78C4">
          <w:rPr>
            <w:rFonts w:ascii="Times New Roman" w:eastAsia="Times New Roman" w:hAnsi="Times New Roman" w:cs="Times New Roman"/>
            <w:b/>
            <w:sz w:val="24"/>
            <w:szCs w:val="24"/>
            <w:lang w:eastAsia="bg-BG"/>
          </w:rPr>
          <w:t>315-20.03.2025</w:t>
        </w:r>
      </w:hyperlink>
      <w:r w:rsidRPr="005D78C4">
        <w:rPr>
          <w:rFonts w:ascii="Times New Roman" w:eastAsia="Times New Roman" w:hAnsi="Times New Roman" w:cs="Times New Roman"/>
          <w:b/>
          <w:sz w:val="24"/>
          <w:szCs w:val="24"/>
          <w:lang w:eastAsia="bg-BG"/>
        </w:rPr>
        <w:t xml:space="preserve"> г.</w:t>
      </w:r>
      <w:r w:rsidRPr="005D78C4">
        <w:rPr>
          <w:rFonts w:ascii="Times New Roman" w:hAnsi="Times New Roman" w:cs="Times New Roman"/>
          <w:sz w:val="24"/>
          <w:szCs w:val="24"/>
        </w:rPr>
        <w:t xml:space="preserve"> постановено по преписка № КЗК/174/2022, на основание чл. 62 ал. 3 от АПК, във връзка с чл. 60, ал. 1, т. 24 от ЗЗК, Комисията за защита на конкуренцията предостави тълкуване на Решение № 1254/21.11.2024 г., постановено по преписка № КЗК-174/2022 г., по поставените конкретни въпроси на постъпило искане.</w:t>
      </w:r>
    </w:p>
    <w:p w14:paraId="3D0E22B6" w14:textId="574FFF9A" w:rsidR="00A24516" w:rsidRPr="005D78C4" w:rsidRDefault="00C37B37" w:rsidP="00DB66D9">
      <w:pPr>
        <w:shd w:val="clear" w:color="auto" w:fill="FFFFFF"/>
        <w:spacing w:after="40" w:line="264" w:lineRule="auto"/>
        <w:ind w:firstLine="709"/>
        <w:jc w:val="both"/>
        <w:rPr>
          <w:rFonts w:ascii="Times New Roman" w:hAnsi="Times New Roman" w:cs="Times New Roman"/>
          <w:sz w:val="24"/>
          <w:szCs w:val="24"/>
        </w:rPr>
      </w:pPr>
      <w:r w:rsidRPr="005D78C4">
        <w:rPr>
          <w:rFonts w:ascii="Times New Roman" w:eastAsia="Times New Roman" w:hAnsi="Times New Roman" w:cs="Times New Roman"/>
          <w:b/>
          <w:sz w:val="24"/>
          <w:szCs w:val="24"/>
          <w:lang w:eastAsia="bg-BG"/>
        </w:rPr>
        <w:t xml:space="preserve">С Решение № </w:t>
      </w:r>
      <w:hyperlink r:id="rId14" w:history="1">
        <w:r w:rsidRPr="005D78C4">
          <w:rPr>
            <w:rFonts w:ascii="Times New Roman" w:eastAsia="Times New Roman" w:hAnsi="Times New Roman" w:cs="Times New Roman"/>
            <w:b/>
            <w:sz w:val="24"/>
            <w:szCs w:val="24"/>
            <w:lang w:eastAsia="bg-BG"/>
          </w:rPr>
          <w:t>424-17.04.2025</w:t>
        </w:r>
      </w:hyperlink>
      <w:r w:rsidRPr="005D78C4">
        <w:rPr>
          <w:rFonts w:ascii="Times New Roman" w:eastAsia="Times New Roman" w:hAnsi="Times New Roman" w:cs="Times New Roman"/>
          <w:b/>
          <w:sz w:val="24"/>
          <w:szCs w:val="24"/>
          <w:lang w:eastAsia="bg-BG"/>
        </w:rPr>
        <w:t xml:space="preserve"> г.</w:t>
      </w:r>
      <w:r w:rsidRPr="005D78C4">
        <w:rPr>
          <w:rFonts w:ascii="Times New Roman" w:hAnsi="Times New Roman" w:cs="Times New Roman"/>
          <w:sz w:val="24"/>
          <w:szCs w:val="24"/>
        </w:rPr>
        <w:t xml:space="preserve"> постановено по преписка № КЗК/786/2021, на основание чл. 60, ал. 1, т. 5 от ЗЗК във връзка с чл. 74, ал. 1, т. 1 от ЗЗК, Комисия за защита на конкуренцията установи, че не е извършено нарушение по чл. 15, ал. 1 от ЗЗК и че няма основания за предприемане на действия за извършено нарушение по чл. 101 ал.1, от ДФЕС от страна на „Парсек Груп“ ЕООД и „Тес Кънстракшън Груп“ ЕООД, (с настоящо на</w:t>
      </w:r>
      <w:r w:rsidR="00177A7D" w:rsidRPr="005D78C4">
        <w:rPr>
          <w:rFonts w:ascii="Times New Roman" w:hAnsi="Times New Roman" w:cs="Times New Roman"/>
          <w:sz w:val="24"/>
          <w:szCs w:val="24"/>
        </w:rPr>
        <w:t>именование „Парсек Билд“ ЕООД).</w:t>
      </w:r>
    </w:p>
    <w:p w14:paraId="330DAB9C" w14:textId="77777777" w:rsidR="00F00BF9" w:rsidRPr="005D78C4" w:rsidRDefault="00F00BF9" w:rsidP="00DB66D9">
      <w:pPr>
        <w:shd w:val="clear" w:color="auto" w:fill="FFFFFF"/>
        <w:spacing w:after="40" w:line="264" w:lineRule="auto"/>
        <w:ind w:firstLine="709"/>
        <w:jc w:val="both"/>
        <w:rPr>
          <w:rFonts w:ascii="Times New Roman" w:hAnsi="Times New Roman" w:cs="Times New Roman"/>
          <w:sz w:val="24"/>
          <w:szCs w:val="24"/>
        </w:rPr>
      </w:pPr>
    </w:p>
    <w:p w14:paraId="18493238" w14:textId="04413B24" w:rsidR="00914E61" w:rsidRPr="005D78C4" w:rsidRDefault="00914E61" w:rsidP="00DB66D9">
      <w:pPr>
        <w:pStyle w:val="ListParagraph"/>
        <w:numPr>
          <w:ilvl w:val="0"/>
          <w:numId w:val="16"/>
        </w:numPr>
        <w:spacing w:after="40" w:line="264" w:lineRule="auto"/>
        <w:contextualSpacing/>
        <w:rPr>
          <w:rFonts w:ascii="Times New Roman" w:hAnsi="Times New Roman" w:cs="Times New Roman"/>
          <w:b/>
        </w:rPr>
      </w:pPr>
      <w:r w:rsidRPr="005D78C4">
        <w:rPr>
          <w:rFonts w:ascii="Times New Roman" w:hAnsi="Times New Roman" w:cs="Times New Roman"/>
          <w:b/>
        </w:rPr>
        <w:t>Злоупотреба с господстващо положение (Глава четвърта от ЗЗК)</w:t>
      </w:r>
    </w:p>
    <w:p w14:paraId="162DD5E6" w14:textId="77777777" w:rsidR="00C37B37" w:rsidRPr="005D78C4" w:rsidRDefault="00C37B37" w:rsidP="00DB66D9">
      <w:pPr>
        <w:spacing w:after="40" w:line="264" w:lineRule="auto"/>
        <w:ind w:firstLine="568"/>
        <w:jc w:val="both"/>
        <w:rPr>
          <w:rFonts w:ascii="Times New Roman" w:eastAsia="Calibri" w:hAnsi="Times New Roman" w:cs="Times New Roman"/>
          <w:b/>
          <w:sz w:val="24"/>
          <w:szCs w:val="24"/>
          <w:lang w:eastAsia="bg-BG"/>
        </w:rPr>
      </w:pPr>
      <w:r w:rsidRPr="005D78C4">
        <w:rPr>
          <w:rFonts w:ascii="Times New Roman" w:eastAsia="Times New Roman" w:hAnsi="Times New Roman" w:cs="Times New Roman"/>
          <w:sz w:val="24"/>
          <w:szCs w:val="24"/>
          <w:lang w:eastAsia="bg-BG"/>
        </w:rPr>
        <w:t>През първото шестмесечие на 202</w:t>
      </w:r>
      <w:r w:rsidRPr="005D78C4">
        <w:rPr>
          <w:rFonts w:ascii="Times New Roman" w:eastAsia="Times New Roman" w:hAnsi="Times New Roman" w:cs="Times New Roman"/>
          <w:sz w:val="24"/>
          <w:szCs w:val="24"/>
          <w:lang w:val="en-US" w:eastAsia="bg-BG"/>
        </w:rPr>
        <w:t>5</w:t>
      </w:r>
      <w:r w:rsidRPr="005D78C4">
        <w:rPr>
          <w:rFonts w:ascii="Times New Roman" w:eastAsia="Times New Roman" w:hAnsi="Times New Roman" w:cs="Times New Roman"/>
          <w:sz w:val="24"/>
          <w:szCs w:val="24"/>
          <w:lang w:eastAsia="bg-BG"/>
        </w:rPr>
        <w:t xml:space="preserve"> г. в Комисията са </w:t>
      </w:r>
      <w:r w:rsidRPr="005D78C4">
        <w:rPr>
          <w:rFonts w:ascii="Times New Roman" w:eastAsia="Times New Roman" w:hAnsi="Times New Roman" w:cs="Times New Roman"/>
          <w:b/>
          <w:sz w:val="24"/>
          <w:szCs w:val="24"/>
          <w:lang w:eastAsia="bg-BG"/>
        </w:rPr>
        <w:t>образувани 6 (шест) производства</w:t>
      </w:r>
      <w:r w:rsidRPr="005D78C4">
        <w:rPr>
          <w:rStyle w:val="FootnoteReference"/>
          <w:rFonts w:ascii="Times New Roman" w:eastAsia="Times New Roman" w:hAnsi="Times New Roman" w:cs="Times New Roman"/>
          <w:b/>
          <w:sz w:val="24"/>
          <w:szCs w:val="24"/>
          <w:lang w:eastAsia="bg-BG"/>
        </w:rPr>
        <w:footnoteReference w:id="2"/>
      </w:r>
      <w:r w:rsidRPr="005D78C4">
        <w:rPr>
          <w:rFonts w:ascii="Times New Roman" w:eastAsia="Times New Roman" w:hAnsi="Times New Roman" w:cs="Times New Roman"/>
          <w:sz w:val="24"/>
          <w:szCs w:val="24"/>
          <w:lang w:eastAsia="bg-BG"/>
        </w:rPr>
        <w:t xml:space="preserve"> с предмет установяване наличието или липсата на извършени нарушения по Глава четвърта „Злоупотреба с монополно или господстващо положение“ от ЗЗК.</w:t>
      </w:r>
    </w:p>
    <w:p w14:paraId="7773A068" w14:textId="77777777" w:rsidR="00C37B37" w:rsidRPr="005D78C4" w:rsidRDefault="00C37B37" w:rsidP="00DB66D9">
      <w:pPr>
        <w:spacing w:after="40" w:line="264" w:lineRule="auto"/>
        <w:ind w:firstLine="568"/>
        <w:jc w:val="both"/>
        <w:rPr>
          <w:rFonts w:ascii="Times New Roman" w:eastAsia="Calibri" w:hAnsi="Times New Roman" w:cs="Times New Roman"/>
          <w:sz w:val="24"/>
          <w:szCs w:val="24"/>
          <w:lang w:eastAsia="bg-BG"/>
        </w:rPr>
      </w:pPr>
      <w:r w:rsidRPr="005D78C4">
        <w:rPr>
          <w:rFonts w:ascii="Times New Roman" w:eastAsia="Calibri" w:hAnsi="Times New Roman" w:cs="Times New Roman"/>
          <w:sz w:val="24"/>
          <w:szCs w:val="24"/>
          <w:lang w:eastAsia="bg-BG"/>
        </w:rPr>
        <w:t>Три от производствата са образувани на основание чл. 38, ал. 1, т. 3 от ЗЗК по искане на засегнато лице, две от които са както по чл. 15 и по чл. 21 от ЗЗК, така и по чл. 101 и по чл. 102 от ДФЕС.</w:t>
      </w:r>
    </w:p>
    <w:p w14:paraId="29DDBD67" w14:textId="77777777" w:rsidR="00C37B37" w:rsidRPr="005D78C4" w:rsidRDefault="00C37B37"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С </w:t>
      </w:r>
      <w:r w:rsidRPr="005D78C4">
        <w:rPr>
          <w:rFonts w:ascii="Times New Roman" w:eastAsia="Times New Roman" w:hAnsi="Times New Roman" w:cs="Times New Roman"/>
          <w:b/>
          <w:sz w:val="24"/>
          <w:szCs w:val="24"/>
          <w:lang w:eastAsia="bg-BG"/>
        </w:rPr>
        <w:t xml:space="preserve">Решение № </w:t>
      </w:r>
      <w:r w:rsidRPr="005D78C4">
        <w:rPr>
          <w:rFonts w:ascii="Times New Roman" w:hAnsi="Times New Roman" w:cs="Times New Roman"/>
          <w:b/>
          <w:bCs/>
          <w:sz w:val="24"/>
          <w:szCs w:val="24"/>
          <w:shd w:val="clear" w:color="auto" w:fill="FFFFFF"/>
        </w:rPr>
        <w:t>240/27.02.2025</w:t>
      </w:r>
      <w:r w:rsidRPr="005D78C4">
        <w:rPr>
          <w:rFonts w:ascii="Times New Roman" w:hAnsi="Times New Roman" w:cs="Times New Roman"/>
          <w:sz w:val="24"/>
          <w:szCs w:val="24"/>
          <w:shd w:val="clear" w:color="auto" w:fill="FFFFFF"/>
        </w:rPr>
        <w:t> </w:t>
      </w:r>
      <w:r w:rsidRPr="005D78C4">
        <w:rPr>
          <w:rFonts w:ascii="Times New Roman" w:eastAsia="Times New Roman" w:hAnsi="Times New Roman" w:cs="Times New Roman"/>
          <w:b/>
          <w:sz w:val="24"/>
          <w:szCs w:val="24"/>
          <w:lang w:eastAsia="bg-BG"/>
        </w:rPr>
        <w:t>г.,</w:t>
      </w:r>
      <w:r w:rsidRPr="005D78C4">
        <w:rPr>
          <w:rFonts w:ascii="Times New Roman" w:eastAsia="Times New Roman" w:hAnsi="Times New Roman" w:cs="Times New Roman"/>
          <w:sz w:val="24"/>
          <w:szCs w:val="24"/>
          <w:lang w:eastAsia="bg-BG"/>
        </w:rPr>
        <w:t xml:space="preserve"> Комисия за защита на конкуренцията се самосезира</w:t>
      </w:r>
      <w:r w:rsidRPr="005D78C4">
        <w:rPr>
          <w:rStyle w:val="FootnoteReference"/>
          <w:rFonts w:ascii="Times New Roman" w:eastAsia="Times New Roman" w:hAnsi="Times New Roman" w:cs="Times New Roman"/>
          <w:sz w:val="24"/>
          <w:szCs w:val="24"/>
          <w:lang w:eastAsia="bg-BG"/>
        </w:rPr>
        <w:footnoteReference w:id="3"/>
      </w:r>
      <w:r w:rsidRPr="005D78C4">
        <w:rPr>
          <w:rFonts w:ascii="Times New Roman" w:eastAsia="Times New Roman" w:hAnsi="Times New Roman" w:cs="Times New Roman"/>
          <w:sz w:val="24"/>
          <w:szCs w:val="24"/>
          <w:lang w:eastAsia="bg-BG"/>
        </w:rPr>
        <w:t xml:space="preserve"> и образува производство за установяване на евентуално извършено нарушение по чл. 21 от ЗЗК и чл. 102 от ДФЕС от страна на Музикаутор във връзка с възнаграждението за използване на произведения от репертоара на сдружението в програмата на Радио Алма Матер КласикА (РАМК).</w:t>
      </w:r>
    </w:p>
    <w:p w14:paraId="3AB7E991" w14:textId="77777777" w:rsidR="00C37B37" w:rsidRPr="005D78C4" w:rsidRDefault="00C37B37" w:rsidP="0026348A">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Комисията извърши предварително проучване </w:t>
      </w:r>
      <w:r w:rsidRPr="005D78C4">
        <w:rPr>
          <w:rFonts w:ascii="Times New Roman" w:hAnsi="Times New Roman" w:cs="Times New Roman"/>
          <w:sz w:val="24"/>
          <w:szCs w:val="24"/>
        </w:rPr>
        <w:t>във връзка с изявление на г-н Васил Димитров – изпълнителен директор на „Кантус Фирмус“ АД, като съгласно твърденията на г-н Димитров, сдружение Музикаутор иска заплащане на възнаграждение за авторски права от радио Алма Матер КласикА, определено на базата на количеството музикално съдържание в програмата на радиото, въпреки че то излъчва основно класическа музика с погасени авторски права</w:t>
      </w:r>
    </w:p>
    <w:p w14:paraId="3C882EA7" w14:textId="77777777" w:rsidR="00C37B37" w:rsidRPr="005D78C4" w:rsidRDefault="00C37B37" w:rsidP="0026348A">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В хода па проучването Комисията установи, че </w:t>
      </w:r>
      <w:r w:rsidRPr="005D78C4">
        <w:rPr>
          <w:rFonts w:ascii="Times New Roman" w:hAnsi="Times New Roman" w:cs="Times New Roman"/>
          <w:sz w:val="24"/>
          <w:szCs w:val="24"/>
        </w:rPr>
        <w:t xml:space="preserve">музикалното съдържание в програмата на радио Алма Матер КласикА е до 80%, като Музикаутор изисква  възнаграждение съгласно Тарифата в размер на 4.7% от брутоприходите от радиопрограмата, при установен годишен минимум от 4 234 лв. Същевременно, от установените факти е видно, че защитеното музикално съдържание от репертоара на Музикаутор в програмата на радио Алма Матер КласикА е около 20% през 2023 г. и около 6% през първата половина на 2024 г. Това е така поради специфичната програмна насоченост на радио Алма Матер КласикА, а именно радио за класическа музика, която в </w:t>
      </w:r>
      <w:r w:rsidRPr="005D78C4">
        <w:rPr>
          <w:rFonts w:ascii="Times New Roman" w:hAnsi="Times New Roman" w:cs="Times New Roman"/>
          <w:sz w:val="24"/>
          <w:szCs w:val="24"/>
        </w:rPr>
        <w:lastRenderedPageBreak/>
        <w:t>голямата си част е с изтекли авторски права. Тази специфика отличава РАМК от останалите радиопрограми в българския ефир, в които звучи предимно съвременна музика, чиято авторскоправна закрила не е изтекла.</w:t>
      </w:r>
    </w:p>
    <w:p w14:paraId="4F728160" w14:textId="77777777" w:rsidR="00C37B37" w:rsidRPr="005D78C4" w:rsidRDefault="00C37B37" w:rsidP="0026348A">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От разменената между Музикаутор и СУ „Св. Климент Охридски“ кореспонденция е видно, че според сдружението възнаграждението за до 80% музикално съдържание е единственото възможно решение от законова гледна точка. Законът обаче изисква възнаграждението да е съобразено с икономическата стойност на използването на правата в търговската дейност, характера и обхвата на използването на произведенията, както и икономическата стойност на услугите, предоставяни от ОКУП. Тарифата за възнагражденията, дължими от радио операторите, въвежда общи критерии за определяне на възнагражденията, които не отчитат количеството на защитения репертоар в радиопрограмата. Основният критерий е общото музикално съдържание, който би бил подходящ за изчисляване на възнаграждението за мнозинството от радио програмите, използващи съвременна музика в съдържанието си. Той обаче не е в състояние да отчете по справедлив начин такива специфики в музикалното съдържание, с каквито се отличава например радио Алма Матер КласикА.</w:t>
      </w:r>
    </w:p>
    <w:p w14:paraId="76DA2F5E" w14:textId="77777777" w:rsidR="00C37B37" w:rsidRPr="005D78C4" w:rsidRDefault="00C37B37" w:rsidP="0026348A">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Комисията достигна до обосновано предположение, че отказът на Музикаутор да съобрази тази специфика на радио Алма Матер КласикА и да предложи възнаграждение за използването на произведенията от репертоара му, отчитащо реалния обем на използването, представлява индикация за злоупотреба с господстващото положение на сдружението чрез налагане на прекомерно висока цена, която не е в разумно съотношение с икономическата стойност на извършваната услуга</w:t>
      </w:r>
    </w:p>
    <w:p w14:paraId="2B580DC7" w14:textId="77777777" w:rsidR="00C37B37" w:rsidRPr="005D78C4" w:rsidRDefault="00C37B37" w:rsidP="0026348A">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Предмет на проучване също така е поведението на Музикаутор, свързано с евентуално поставяне на радио Алма Матер КласикА в неблагоприятно положение спрямо конкурентните му радиооператори, ако исканото възнаграждение, което не отчита реалното използване и действителната аудитория, може да се квалифицира като прилагане на различни условия по отношение на еквивалентни сделки. Същото принципно е в съответствие с Тарифата за радиооператорите и с ценовата политика на сдружението спрямо останалите радиооператори. В същото време, критерият „музикално съдържание в програмата“ се изпълва с различен обем на защитен репертоар в програмата на РАМК спрямо програмите на останалите радио оператори.</w:t>
      </w:r>
    </w:p>
    <w:p w14:paraId="0B851EA6" w14:textId="77777777" w:rsidR="00C37B37" w:rsidRPr="005D78C4" w:rsidRDefault="00C37B37" w:rsidP="0026348A">
      <w:pPr>
        <w:spacing w:after="40" w:line="264" w:lineRule="auto"/>
        <w:ind w:firstLine="709"/>
        <w:jc w:val="both"/>
        <w:rPr>
          <w:rFonts w:ascii="Times New Roman" w:hAnsi="Times New Roman" w:cs="Times New Roman"/>
          <w:sz w:val="24"/>
          <w:szCs w:val="24"/>
        </w:rPr>
      </w:pPr>
      <w:r w:rsidRPr="005D78C4">
        <w:rPr>
          <w:rFonts w:ascii="Times New Roman" w:eastAsia="Times New Roman" w:hAnsi="Times New Roman" w:cs="Times New Roman"/>
          <w:sz w:val="24"/>
          <w:szCs w:val="24"/>
          <w:lang w:eastAsia="bg-BG"/>
        </w:rPr>
        <w:t xml:space="preserve">С </w:t>
      </w:r>
      <w:r w:rsidRPr="005D78C4">
        <w:rPr>
          <w:rFonts w:ascii="Times New Roman" w:eastAsia="Times New Roman" w:hAnsi="Times New Roman" w:cs="Times New Roman"/>
          <w:b/>
          <w:sz w:val="24"/>
          <w:szCs w:val="24"/>
          <w:lang w:eastAsia="bg-BG"/>
        </w:rPr>
        <w:t xml:space="preserve">Решение № </w:t>
      </w:r>
      <w:r w:rsidRPr="005D78C4">
        <w:rPr>
          <w:rFonts w:ascii="Times New Roman" w:hAnsi="Times New Roman" w:cs="Times New Roman"/>
          <w:b/>
          <w:bCs/>
          <w:sz w:val="24"/>
          <w:szCs w:val="24"/>
          <w:shd w:val="clear" w:color="auto" w:fill="FFFFFF"/>
        </w:rPr>
        <w:t>557/12.06.2025 г.</w:t>
      </w:r>
      <w:r w:rsidRPr="005D78C4">
        <w:rPr>
          <w:rFonts w:ascii="Times New Roman" w:hAnsi="Times New Roman" w:cs="Times New Roman"/>
          <w:sz w:val="24"/>
          <w:szCs w:val="24"/>
          <w:shd w:val="clear" w:color="auto" w:fill="FFFFFF"/>
        </w:rPr>
        <w:t> </w:t>
      </w:r>
      <w:r w:rsidRPr="005D78C4">
        <w:rPr>
          <w:rFonts w:ascii="Times New Roman" w:eastAsia="Times New Roman" w:hAnsi="Times New Roman" w:cs="Times New Roman"/>
          <w:sz w:val="24"/>
          <w:szCs w:val="24"/>
          <w:lang w:eastAsia="bg-BG"/>
        </w:rPr>
        <w:t>Комисия за защита на конкуренцията се самосезира</w:t>
      </w:r>
      <w:r w:rsidRPr="005D78C4">
        <w:rPr>
          <w:rStyle w:val="FootnoteReference"/>
          <w:rFonts w:ascii="Times New Roman" w:eastAsia="Times New Roman" w:hAnsi="Times New Roman" w:cs="Times New Roman"/>
          <w:sz w:val="24"/>
          <w:szCs w:val="24"/>
          <w:lang w:eastAsia="bg-BG"/>
        </w:rPr>
        <w:footnoteReference w:id="4"/>
      </w:r>
      <w:r w:rsidRPr="005D78C4">
        <w:rPr>
          <w:rFonts w:ascii="Times New Roman" w:eastAsia="Times New Roman" w:hAnsi="Times New Roman" w:cs="Times New Roman"/>
          <w:sz w:val="24"/>
          <w:szCs w:val="24"/>
          <w:lang w:eastAsia="bg-BG"/>
        </w:rPr>
        <w:t xml:space="preserve"> </w:t>
      </w:r>
      <w:r w:rsidRPr="005D78C4">
        <w:rPr>
          <w:rFonts w:ascii="Times New Roman" w:hAnsi="Times New Roman" w:cs="Times New Roman"/>
          <w:sz w:val="24"/>
          <w:szCs w:val="24"/>
        </w:rPr>
        <w:t>и образува производство за установяване на евентуални нарушения на националното и европейско конкурентно законодателство от страна на „Лукойл Нефтохим Бургас“ АД и „Лукойл-България“ ЕООД.</w:t>
      </w:r>
    </w:p>
    <w:p w14:paraId="0CF579C9" w14:textId="77777777" w:rsidR="00C37B37" w:rsidRPr="005D78C4" w:rsidRDefault="00C37B37" w:rsidP="0026348A">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В КЗК са постъпили сигнали от 2024 г. и 2025 г., включително от участник на пазарите на реализация на горива, съдържащи твърдения за умишлено ограничаване на вноса и търговията на едро на горива в страната. Тази информация беше присъединена към данни и информация, събрани при осъществяване на регулярния секторен мониторинг, който КЗК извършва във връзка с годишните си приоритети.</w:t>
      </w:r>
    </w:p>
    <w:p w14:paraId="404DBF54" w14:textId="77777777" w:rsidR="00C37B37" w:rsidRPr="005D78C4" w:rsidRDefault="00C37B37" w:rsidP="0026348A">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В рамките на извършваното предварителното проучване са установени индикатори за евентуално изкривяване на конкурентната среда на вертикално свързаните пазари на реализация на бензин А95Н и дизелово гориво.</w:t>
      </w:r>
    </w:p>
    <w:p w14:paraId="1DF4DC82" w14:textId="0656035D" w:rsidR="00C37B37" w:rsidRPr="005D78C4" w:rsidRDefault="00C37B37" w:rsidP="0026348A">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lastRenderedPageBreak/>
        <w:t>Производството цели да установи дали има нови прояви на злоупотреба с господстващо положение, които биха могли да засегнат цялостната пазарна структура, поведението на останалите участници и интересите на потребителите.</w:t>
      </w:r>
    </w:p>
    <w:p w14:paraId="4995CA96" w14:textId="77777777" w:rsidR="00F00BF9" w:rsidRPr="005D78C4" w:rsidRDefault="00F00BF9" w:rsidP="0026348A">
      <w:pPr>
        <w:spacing w:after="40" w:line="264" w:lineRule="auto"/>
        <w:ind w:firstLine="709"/>
        <w:jc w:val="both"/>
        <w:rPr>
          <w:rFonts w:ascii="Times New Roman" w:hAnsi="Times New Roman" w:cs="Times New Roman"/>
          <w:sz w:val="24"/>
          <w:szCs w:val="24"/>
        </w:rPr>
      </w:pPr>
    </w:p>
    <w:p w14:paraId="55BC32FB" w14:textId="61F68694" w:rsidR="00C37B37" w:rsidRPr="005D78C4" w:rsidRDefault="00C37B37" w:rsidP="0026348A">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hAnsi="Times New Roman" w:cs="Times New Roman"/>
          <w:sz w:val="24"/>
          <w:szCs w:val="24"/>
        </w:rPr>
        <w:t xml:space="preserve">През първото полугодие на 2025 г. </w:t>
      </w:r>
      <w:r w:rsidRPr="005D78C4">
        <w:rPr>
          <w:rFonts w:ascii="Times New Roman" w:hAnsi="Times New Roman" w:cs="Times New Roman"/>
          <w:b/>
          <w:sz w:val="24"/>
          <w:szCs w:val="24"/>
        </w:rPr>
        <w:t>Комисията постанови общо 4 (четири) решения  във връзка с прилагането на чл. 21 от ЗЗК и/или чл.102 от ДФЕС</w:t>
      </w:r>
      <w:r w:rsidRPr="005D78C4">
        <w:rPr>
          <w:rFonts w:ascii="Times New Roman" w:hAnsi="Times New Roman" w:cs="Times New Roman"/>
          <w:sz w:val="24"/>
          <w:szCs w:val="24"/>
        </w:rPr>
        <w:t xml:space="preserve"> по производства, образувани в периода от 2021 г. до 2024 г.</w:t>
      </w:r>
      <w:r w:rsidRPr="005D78C4">
        <w:rPr>
          <w:rFonts w:ascii="Times New Roman" w:eastAsia="Times New Roman" w:hAnsi="Times New Roman" w:cs="Times New Roman"/>
          <w:sz w:val="24"/>
          <w:szCs w:val="24"/>
          <w:lang w:eastAsia="bg-BG"/>
        </w:rPr>
        <w:t xml:space="preserve"> </w:t>
      </w:r>
    </w:p>
    <w:p w14:paraId="2FFCAA2A" w14:textId="77777777" w:rsidR="00C37B37" w:rsidRPr="005D78C4" w:rsidRDefault="00C37B37" w:rsidP="0026348A">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С </w:t>
      </w:r>
      <w:r w:rsidRPr="005D78C4">
        <w:rPr>
          <w:rFonts w:ascii="Times New Roman" w:eastAsia="Times New Roman" w:hAnsi="Times New Roman" w:cs="Times New Roman"/>
          <w:b/>
          <w:sz w:val="24"/>
          <w:szCs w:val="24"/>
          <w:lang w:eastAsia="bg-BG"/>
        </w:rPr>
        <w:t>Решение №</w:t>
      </w:r>
      <w:r w:rsidRPr="005D78C4">
        <w:rPr>
          <w:rFonts w:ascii="Times New Roman" w:eastAsia="Times New Roman" w:hAnsi="Times New Roman" w:cs="Times New Roman"/>
          <w:sz w:val="24"/>
          <w:szCs w:val="24"/>
          <w:lang w:eastAsia="bg-BG"/>
        </w:rPr>
        <w:t xml:space="preserve"> </w:t>
      </w:r>
      <w:r w:rsidRPr="005D78C4">
        <w:rPr>
          <w:rFonts w:ascii="Times New Roman" w:hAnsi="Times New Roman" w:cs="Times New Roman"/>
          <w:b/>
          <w:bCs/>
          <w:sz w:val="24"/>
          <w:szCs w:val="24"/>
          <w:shd w:val="clear" w:color="auto" w:fill="FFFFFF"/>
        </w:rPr>
        <w:t>213/20.02.2025</w:t>
      </w:r>
      <w:r w:rsidRPr="005D78C4">
        <w:rPr>
          <w:rFonts w:ascii="Times New Roman" w:hAnsi="Times New Roman" w:cs="Times New Roman"/>
          <w:sz w:val="24"/>
          <w:szCs w:val="24"/>
          <w:shd w:val="clear" w:color="auto" w:fill="FFFFFF"/>
        </w:rPr>
        <w:t xml:space="preserve"> г. </w:t>
      </w:r>
      <w:r w:rsidRPr="005D78C4">
        <w:rPr>
          <w:rFonts w:ascii="Times New Roman" w:hAnsi="Times New Roman" w:cs="Times New Roman"/>
          <w:sz w:val="24"/>
          <w:szCs w:val="24"/>
        </w:rPr>
        <w:t xml:space="preserve">постановено по преписка № </w:t>
      </w:r>
      <w:hyperlink r:id="rId15" w:history="1">
        <w:r w:rsidRPr="005D78C4">
          <w:rPr>
            <w:rStyle w:val="Hyperlink"/>
            <w:rFonts w:ascii="Times New Roman" w:hAnsi="Times New Roman" w:cs="Times New Roman"/>
            <w:bCs/>
            <w:color w:val="auto"/>
            <w:shd w:val="clear" w:color="auto" w:fill="FFFFFF"/>
          </w:rPr>
          <w:t>КЗК/832/2024</w:t>
        </w:r>
      </w:hyperlink>
      <w:r w:rsidRPr="005D78C4">
        <w:rPr>
          <w:rFonts w:ascii="Times New Roman" w:hAnsi="Times New Roman" w:cs="Times New Roman"/>
          <w:sz w:val="24"/>
          <w:szCs w:val="24"/>
        </w:rPr>
        <w:t>,</w:t>
      </w:r>
      <w:r w:rsidRPr="005D78C4">
        <w:rPr>
          <w:rFonts w:ascii="Times New Roman" w:hAnsi="Times New Roman" w:cs="Times New Roman"/>
          <w:sz w:val="24"/>
          <w:szCs w:val="24"/>
          <w:shd w:val="clear" w:color="auto" w:fill="FFFFFF"/>
        </w:rPr>
        <w:t xml:space="preserve"> Комисията </w:t>
      </w:r>
      <w:r w:rsidRPr="005D78C4">
        <w:rPr>
          <w:rFonts w:ascii="Times New Roman" w:hAnsi="Times New Roman" w:cs="Times New Roman"/>
          <w:sz w:val="24"/>
          <w:szCs w:val="24"/>
        </w:rPr>
        <w:t>наложи имуществена санкция в размер на 19 225 лева на „Веолия Енерджи Варна“ ЕАД, за извършено нарушение по чл. 21, т. 2 от Закона за защита на конкуренцията, изразяващо се в злоупотреба с господстващо положение, насочена към ограничаване на търговията и техническото развитие на пазара на дялово разпределение, извършвана чрез насърчаването на разпределение на топлинна енергия за отопление без технически средства за нейното измерване, както и чрез едностранна подмяна на водомери на клиенти, обслужвани от други топлинни счетоводители, възпрепятствайки тяхната дейност, което засяга пряко или косвено интересите на потребителите на територията на гр. Варна.</w:t>
      </w:r>
    </w:p>
    <w:p w14:paraId="0B18E514" w14:textId="77777777" w:rsidR="00C37B37" w:rsidRPr="005D78C4" w:rsidRDefault="00C37B37" w:rsidP="0026348A">
      <w:pPr>
        <w:pStyle w:val="NormalWeb"/>
        <w:shd w:val="clear" w:color="auto" w:fill="FFFFFF"/>
        <w:spacing w:after="40" w:line="264" w:lineRule="auto"/>
        <w:ind w:firstLine="709"/>
        <w:rPr>
          <w:color w:val="auto"/>
        </w:rPr>
      </w:pPr>
      <w:r w:rsidRPr="005D78C4">
        <w:rPr>
          <w:rFonts w:eastAsia="Calibri"/>
          <w:color w:val="auto"/>
        </w:rPr>
        <w:t>С</w:t>
      </w:r>
      <w:r w:rsidRPr="005D78C4">
        <w:rPr>
          <w:rFonts w:eastAsia="Calibri"/>
          <w:b/>
          <w:color w:val="auto"/>
        </w:rPr>
        <w:t xml:space="preserve"> друго решение</w:t>
      </w:r>
      <w:r w:rsidRPr="005D78C4">
        <w:rPr>
          <w:rStyle w:val="FootnoteReference"/>
          <w:rFonts w:eastAsia="Calibri"/>
          <w:b/>
          <w:color w:val="auto"/>
        </w:rPr>
        <w:footnoteReference w:id="5"/>
      </w:r>
      <w:r w:rsidRPr="005D78C4">
        <w:rPr>
          <w:rFonts w:eastAsia="Calibri"/>
          <w:b/>
          <w:color w:val="auto"/>
        </w:rPr>
        <w:t xml:space="preserve"> </w:t>
      </w:r>
      <w:r w:rsidRPr="005D78C4">
        <w:rPr>
          <w:color w:val="auto"/>
        </w:rPr>
        <w:t xml:space="preserve">постановено по преписка № </w:t>
      </w:r>
      <w:hyperlink r:id="rId16" w:history="1">
        <w:r w:rsidRPr="005D78C4">
          <w:rPr>
            <w:rStyle w:val="Hyperlink"/>
            <w:rFonts w:eastAsiaTheme="minorHAnsi"/>
            <w:bCs/>
            <w:color w:val="auto"/>
            <w:shd w:val="clear" w:color="auto" w:fill="FFFFFF"/>
            <w:lang w:eastAsia="en-US"/>
          </w:rPr>
          <w:t>КЗК/1028/2024</w:t>
        </w:r>
      </w:hyperlink>
      <w:r w:rsidRPr="005D78C4">
        <w:rPr>
          <w:rStyle w:val="Hyperlink"/>
          <w:rFonts w:eastAsiaTheme="minorHAnsi"/>
          <w:bCs/>
          <w:color w:val="auto"/>
          <w:shd w:val="clear" w:color="auto" w:fill="FFFFFF"/>
          <w:lang w:eastAsia="en-US"/>
        </w:rPr>
        <w:t>,</w:t>
      </w:r>
      <w:r w:rsidRPr="005D78C4">
        <w:rPr>
          <w:rFonts w:eastAsia="Calibri"/>
          <w:b/>
          <w:color w:val="auto"/>
        </w:rPr>
        <w:t xml:space="preserve"> </w:t>
      </w:r>
      <w:r w:rsidRPr="005D78C4">
        <w:rPr>
          <w:color w:val="auto"/>
          <w:shd w:val="clear" w:color="auto" w:fill="FFFFFF"/>
        </w:rPr>
        <w:t xml:space="preserve">КЗК наложи имуществена санкция </w:t>
      </w:r>
      <w:r w:rsidRPr="005D78C4">
        <w:rPr>
          <w:color w:val="auto"/>
        </w:rPr>
        <w:t>в размер на 11 674 лв. на дружество от фармацевтичния сектор за установено нарушение, изразяващо се в неизпълнение на задължението за оказване на съдействие на Комисията при изпълнението на правомощията ѝ в съответствие с разпоредбите на чл. 47, ал. 4 и 6 от ЗЗК, с което се възпрепятства и затруднява проучването във връзка с производство за установяване на евентуално извършени нарушения по чл. 21 от ЗЗК и чл. 102 от ДФЕС, под формата на необоснован отказ от доставка на лекарствен продукт.</w:t>
      </w:r>
    </w:p>
    <w:p w14:paraId="5518DF3F" w14:textId="2FDD403C" w:rsidR="00C37B37" w:rsidRPr="005D78C4" w:rsidRDefault="00C37B37" w:rsidP="0026348A">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През първото шестмесечие на 2025 г. бяха приети и 2 (две) решения, с които Комисията установи, че не е извършено нарушение по чл. 21 от ЗЗК и че няма основание за предприемане на действия за извършено нарушение по чл. 102 от ДФЕС</w:t>
      </w:r>
      <w:r w:rsidRPr="005D78C4">
        <w:rPr>
          <w:rStyle w:val="FootnoteReference"/>
          <w:rFonts w:ascii="Times New Roman" w:eastAsia="Times New Roman" w:hAnsi="Times New Roman" w:cs="Times New Roman"/>
          <w:sz w:val="24"/>
          <w:szCs w:val="24"/>
          <w:lang w:eastAsia="bg-BG"/>
        </w:rPr>
        <w:footnoteReference w:id="6"/>
      </w:r>
      <w:r w:rsidRPr="005D78C4">
        <w:rPr>
          <w:rFonts w:ascii="Times New Roman" w:eastAsia="Times New Roman" w:hAnsi="Times New Roman" w:cs="Times New Roman"/>
          <w:sz w:val="24"/>
          <w:szCs w:val="24"/>
          <w:lang w:eastAsia="bg-BG"/>
        </w:rPr>
        <w:t>.</w:t>
      </w:r>
    </w:p>
    <w:p w14:paraId="16CD596D" w14:textId="77777777" w:rsidR="00177A7D" w:rsidRPr="005D78C4" w:rsidRDefault="00914E61" w:rsidP="0026348A">
      <w:pPr>
        <w:spacing w:after="40" w:line="264" w:lineRule="auto"/>
        <w:ind w:firstLine="709"/>
        <w:jc w:val="both"/>
        <w:rPr>
          <w:rFonts w:ascii="Times New Roman" w:eastAsia="Times New Roman" w:hAnsi="Times New Roman" w:cs="Times New Roman"/>
          <w:b/>
          <w:i/>
          <w:sz w:val="24"/>
          <w:szCs w:val="24"/>
          <w:lang w:eastAsia="bg-BG"/>
        </w:rPr>
      </w:pPr>
      <w:r w:rsidRPr="005D78C4">
        <w:rPr>
          <w:rFonts w:ascii="Times New Roman" w:eastAsia="Times New Roman" w:hAnsi="Times New Roman" w:cs="Times New Roman"/>
          <w:b/>
          <w:i/>
          <w:sz w:val="24"/>
          <w:szCs w:val="24"/>
          <w:lang w:eastAsia="bg-BG"/>
        </w:rPr>
        <w:t xml:space="preserve">           </w:t>
      </w:r>
    </w:p>
    <w:p w14:paraId="3DA1ED90" w14:textId="288AC2B0" w:rsidR="00914E61" w:rsidRPr="005D78C4" w:rsidRDefault="00914E61" w:rsidP="0026348A">
      <w:pPr>
        <w:spacing w:after="40" w:line="264" w:lineRule="auto"/>
        <w:ind w:firstLine="709"/>
        <w:jc w:val="both"/>
        <w:rPr>
          <w:rFonts w:ascii="Times New Roman" w:eastAsia="Times New Roman" w:hAnsi="Times New Roman" w:cs="Times New Roman"/>
          <w:b/>
          <w:i/>
          <w:sz w:val="24"/>
          <w:szCs w:val="24"/>
          <w:lang w:eastAsia="bg-BG"/>
        </w:rPr>
      </w:pPr>
      <w:r w:rsidRPr="005D78C4">
        <w:rPr>
          <w:rFonts w:ascii="Times New Roman" w:eastAsia="Times New Roman" w:hAnsi="Times New Roman" w:cs="Times New Roman"/>
          <w:b/>
          <w:i/>
          <w:sz w:val="24"/>
          <w:szCs w:val="24"/>
          <w:lang w:eastAsia="bg-BG"/>
        </w:rPr>
        <w:t>Санкции</w:t>
      </w:r>
    </w:p>
    <w:p w14:paraId="0F3A7EB2" w14:textId="5D7F162C" w:rsidR="00C37B37" w:rsidRPr="005D78C4" w:rsidRDefault="00C37B37" w:rsidP="0026348A">
      <w:pPr>
        <w:spacing w:after="40" w:line="264" w:lineRule="auto"/>
        <w:ind w:firstLine="709"/>
        <w:jc w:val="both"/>
        <w:rPr>
          <w:rFonts w:ascii="Times New Roman" w:eastAsia="Calibri" w:hAnsi="Times New Roman" w:cs="Times New Roman"/>
          <w:b/>
          <w:sz w:val="24"/>
          <w:szCs w:val="24"/>
          <w:lang w:eastAsia="bg-BG"/>
        </w:rPr>
      </w:pPr>
      <w:r w:rsidRPr="005D78C4">
        <w:rPr>
          <w:rFonts w:ascii="Times New Roman" w:eastAsia="Calibri" w:hAnsi="Times New Roman" w:cs="Times New Roman"/>
          <w:sz w:val="24"/>
          <w:szCs w:val="24"/>
          <w:lang w:eastAsia="bg-BG"/>
        </w:rPr>
        <w:t>През първото шестмесечие на 2025 г., общият размер на наложените санкции  с 2</w:t>
      </w:r>
      <w:r w:rsidRPr="005D78C4">
        <w:rPr>
          <w:rFonts w:ascii="Times New Roman" w:eastAsia="Calibri" w:hAnsi="Times New Roman" w:cs="Times New Roman"/>
          <w:b/>
          <w:sz w:val="24"/>
          <w:szCs w:val="24"/>
          <w:lang w:eastAsia="bg-BG"/>
        </w:rPr>
        <w:t xml:space="preserve"> решения</w:t>
      </w:r>
      <w:r w:rsidRPr="005D78C4">
        <w:rPr>
          <w:rFonts w:ascii="Times New Roman" w:eastAsia="Calibri" w:hAnsi="Times New Roman" w:cs="Times New Roman"/>
          <w:sz w:val="24"/>
          <w:szCs w:val="24"/>
          <w:lang w:eastAsia="bg-BG"/>
        </w:rPr>
        <w:t xml:space="preserve"> по производства, образувани по глава четвърта от ЗЗК, </w:t>
      </w:r>
      <w:r w:rsidRPr="005D78C4">
        <w:rPr>
          <w:rFonts w:ascii="Times New Roman" w:eastAsia="Calibri" w:hAnsi="Times New Roman" w:cs="Times New Roman"/>
          <w:b/>
          <w:sz w:val="24"/>
          <w:szCs w:val="24"/>
          <w:lang w:eastAsia="bg-BG"/>
        </w:rPr>
        <w:t>Комисията е наложила имуществени санкции</w:t>
      </w:r>
      <w:r w:rsidRPr="005D78C4">
        <w:rPr>
          <w:rFonts w:ascii="Times New Roman" w:eastAsia="Calibri" w:hAnsi="Times New Roman" w:cs="Times New Roman"/>
          <w:sz w:val="24"/>
          <w:szCs w:val="24"/>
          <w:lang w:eastAsia="bg-BG"/>
        </w:rPr>
        <w:t xml:space="preserve"> за извършени нарушения, </w:t>
      </w:r>
      <w:r w:rsidRPr="005D78C4">
        <w:rPr>
          <w:rFonts w:ascii="Times New Roman" w:eastAsia="Calibri" w:hAnsi="Times New Roman" w:cs="Times New Roman"/>
          <w:b/>
          <w:sz w:val="24"/>
          <w:szCs w:val="24"/>
          <w:lang w:eastAsia="bg-BG"/>
        </w:rPr>
        <w:t xml:space="preserve">в общ размер на 30 899 лв. </w:t>
      </w:r>
    </w:p>
    <w:p w14:paraId="6F826EB2" w14:textId="77777777" w:rsidR="00F00BF9" w:rsidRPr="005D78C4" w:rsidRDefault="00F00BF9" w:rsidP="0026348A">
      <w:pPr>
        <w:spacing w:after="40" w:line="264" w:lineRule="auto"/>
        <w:ind w:firstLine="709"/>
        <w:jc w:val="both"/>
        <w:rPr>
          <w:rFonts w:ascii="Times New Roman" w:eastAsia="Calibri" w:hAnsi="Times New Roman" w:cs="Times New Roman"/>
          <w:b/>
          <w:sz w:val="24"/>
          <w:szCs w:val="24"/>
          <w:lang w:eastAsia="bg-BG"/>
        </w:rPr>
      </w:pPr>
    </w:p>
    <w:p w14:paraId="39CAED47" w14:textId="77777777" w:rsidR="000C658C" w:rsidRPr="005D78C4" w:rsidRDefault="000C658C" w:rsidP="00DB66D9">
      <w:pPr>
        <w:numPr>
          <w:ilvl w:val="0"/>
          <w:numId w:val="15"/>
        </w:numPr>
        <w:spacing w:after="40" w:line="264" w:lineRule="auto"/>
        <w:ind w:left="1134" w:hanging="425"/>
        <w:jc w:val="both"/>
        <w:rPr>
          <w:rFonts w:ascii="Times New Roman" w:eastAsia="Times New Roman" w:hAnsi="Times New Roman" w:cs="Times New Roman"/>
          <w:b/>
          <w:sz w:val="24"/>
          <w:szCs w:val="24"/>
          <w:lang w:eastAsia="bg-BG"/>
        </w:rPr>
      </w:pPr>
      <w:r w:rsidRPr="005D78C4">
        <w:rPr>
          <w:rFonts w:ascii="Times New Roman" w:eastAsia="Times New Roman" w:hAnsi="Times New Roman" w:cs="Times New Roman"/>
          <w:b/>
          <w:sz w:val="24"/>
          <w:szCs w:val="24"/>
          <w:lang w:eastAsia="bg-BG"/>
        </w:rPr>
        <w:t xml:space="preserve">Други дейности свързани с правоприлагането по Глава </w:t>
      </w:r>
      <w:r w:rsidRPr="005D78C4">
        <w:rPr>
          <w:rFonts w:ascii="Times New Roman" w:hAnsi="Times New Roman" w:cs="Times New Roman"/>
          <w:b/>
          <w:sz w:val="24"/>
          <w:szCs w:val="24"/>
        </w:rPr>
        <w:t>ІІ</w:t>
      </w:r>
      <w:r w:rsidRPr="005D78C4">
        <w:rPr>
          <w:rFonts w:ascii="Times New Roman" w:hAnsi="Times New Roman" w:cs="Times New Roman"/>
          <w:b/>
          <w:sz w:val="24"/>
          <w:szCs w:val="24"/>
          <w:lang w:val="en-US"/>
        </w:rPr>
        <w:t>I</w:t>
      </w:r>
      <w:r w:rsidRPr="005D78C4">
        <w:rPr>
          <w:rFonts w:ascii="Times New Roman" w:hAnsi="Times New Roman" w:cs="Times New Roman"/>
          <w:b/>
          <w:sz w:val="24"/>
          <w:szCs w:val="24"/>
        </w:rPr>
        <w:t xml:space="preserve"> и по Глава </w:t>
      </w:r>
      <w:r w:rsidRPr="005D78C4">
        <w:rPr>
          <w:rFonts w:ascii="Times New Roman" w:hAnsi="Times New Roman" w:cs="Times New Roman"/>
          <w:b/>
          <w:sz w:val="24"/>
          <w:szCs w:val="24"/>
          <w:lang w:val="en-US"/>
        </w:rPr>
        <w:t>I</w:t>
      </w:r>
      <w:r w:rsidRPr="005D78C4">
        <w:rPr>
          <w:rFonts w:ascii="Times New Roman" w:hAnsi="Times New Roman" w:cs="Times New Roman"/>
          <w:b/>
          <w:sz w:val="24"/>
          <w:szCs w:val="24"/>
        </w:rPr>
        <w:t xml:space="preserve">V от </w:t>
      </w:r>
      <w:r w:rsidRPr="005D78C4">
        <w:rPr>
          <w:rFonts w:ascii="Times New Roman" w:eastAsia="Times New Roman" w:hAnsi="Times New Roman" w:cs="Times New Roman"/>
          <w:b/>
          <w:sz w:val="24"/>
          <w:szCs w:val="24"/>
          <w:lang w:eastAsia="bg-BG"/>
        </w:rPr>
        <w:t>ЗЗК</w:t>
      </w:r>
    </w:p>
    <w:p w14:paraId="747EF366" w14:textId="2E404310" w:rsidR="009C4511" w:rsidRPr="005D78C4" w:rsidRDefault="009C4511" w:rsidP="00DB66D9">
      <w:pPr>
        <w:pStyle w:val="ListParagraph"/>
        <w:numPr>
          <w:ilvl w:val="0"/>
          <w:numId w:val="31"/>
        </w:numPr>
        <w:spacing w:after="40" w:line="264" w:lineRule="auto"/>
        <w:ind w:hanging="11"/>
        <w:jc w:val="both"/>
        <w:rPr>
          <w:rFonts w:ascii="Times New Roman" w:eastAsia="Times New Roman" w:hAnsi="Times New Roman" w:cs="Times New Roman"/>
          <w:b/>
          <w:i/>
          <w:lang w:eastAsia="bg-BG"/>
        </w:rPr>
      </w:pPr>
      <w:r w:rsidRPr="005D78C4">
        <w:rPr>
          <w:rFonts w:ascii="Times New Roman" w:eastAsia="Times New Roman" w:hAnsi="Times New Roman" w:cs="Times New Roman"/>
          <w:b/>
          <w:i/>
          <w:lang w:eastAsia="bg-BG"/>
        </w:rPr>
        <w:t>Предварителни проучвания по получени сигнали, съгласно чл.38а от ЗЗК.</w:t>
      </w:r>
    </w:p>
    <w:p w14:paraId="14E9E376" w14:textId="77777777" w:rsidR="00C37B37" w:rsidRPr="005D78C4" w:rsidRDefault="00C37B37"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През отчетния период са получени общо </w:t>
      </w:r>
      <w:r w:rsidRPr="005D78C4">
        <w:rPr>
          <w:rFonts w:ascii="Times New Roman" w:eastAsia="Times New Roman" w:hAnsi="Times New Roman" w:cs="Times New Roman"/>
          <w:b/>
          <w:sz w:val="24"/>
          <w:szCs w:val="24"/>
          <w:lang w:eastAsia="bg-BG"/>
        </w:rPr>
        <w:t>70</w:t>
      </w:r>
      <w:r w:rsidRPr="005D78C4">
        <w:rPr>
          <w:rFonts w:ascii="Times New Roman" w:eastAsia="Times New Roman" w:hAnsi="Times New Roman" w:cs="Times New Roman"/>
          <w:sz w:val="24"/>
          <w:szCs w:val="24"/>
          <w:lang w:eastAsia="bg-BG"/>
        </w:rPr>
        <w:t xml:space="preserve"> сигнала, съдържащи твърдения за нарушения на антитръстовите правила, с които експертите от отдел „Антитръст“ се запознаха, извършиха допълнителни предварителни проучвания в някои от случаите и </w:t>
      </w:r>
      <w:r w:rsidRPr="005D78C4">
        <w:rPr>
          <w:rFonts w:ascii="Times New Roman" w:eastAsia="Times New Roman" w:hAnsi="Times New Roman" w:cs="Times New Roman"/>
          <w:sz w:val="24"/>
          <w:szCs w:val="24"/>
          <w:lang w:eastAsia="bg-BG"/>
        </w:rPr>
        <w:lastRenderedPageBreak/>
        <w:t>изготвиха отговори до подателите на сигналите. Някои случаи продължават да се проучват с цел събиране на достатъчно доказателства за образуване на производства.</w:t>
      </w:r>
    </w:p>
    <w:p w14:paraId="6BC7E687" w14:textId="634890D8" w:rsidR="00C37B37" w:rsidRPr="005D78C4" w:rsidRDefault="00C37B37" w:rsidP="00DB66D9">
      <w:pPr>
        <w:tabs>
          <w:tab w:val="left" w:pos="993"/>
        </w:tabs>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hAnsi="Times New Roman" w:cs="Times New Roman"/>
          <w:sz w:val="24"/>
          <w:szCs w:val="24"/>
        </w:rPr>
        <w:t xml:space="preserve">През първото шестмесечие на 2025 г. чрез платформата за анонимно подаване на сигнали постъпиха допълнително </w:t>
      </w:r>
      <w:r w:rsidRPr="005D78C4">
        <w:rPr>
          <w:rFonts w:ascii="Times New Roman" w:hAnsi="Times New Roman" w:cs="Times New Roman"/>
          <w:b/>
          <w:sz w:val="24"/>
          <w:szCs w:val="24"/>
        </w:rPr>
        <w:t xml:space="preserve">170 </w:t>
      </w:r>
      <w:r w:rsidRPr="005D78C4">
        <w:rPr>
          <w:rFonts w:ascii="Times New Roman" w:hAnsi="Times New Roman" w:cs="Times New Roman"/>
          <w:sz w:val="24"/>
          <w:szCs w:val="24"/>
        </w:rPr>
        <w:t xml:space="preserve">сигнала, като голяма част от постъпилата информация по тях не касае твърдения за нарушения на разпоредбите на ЗЗК.  </w:t>
      </w:r>
      <w:r w:rsidR="00F00BF9" w:rsidRPr="005D78C4">
        <w:rPr>
          <w:rFonts w:ascii="Times New Roman" w:hAnsi="Times New Roman" w:cs="Times New Roman"/>
          <w:sz w:val="24"/>
          <w:szCs w:val="24"/>
        </w:rPr>
        <w:t>Наблюдава се</w:t>
      </w:r>
      <w:r w:rsidR="00E01158" w:rsidRPr="005D78C4">
        <w:rPr>
          <w:rFonts w:ascii="Times New Roman" w:eastAsia="Times New Roman" w:hAnsi="Times New Roman" w:cs="Times New Roman"/>
          <w:sz w:val="24"/>
          <w:szCs w:val="24"/>
          <w:lang w:eastAsia="bg-BG"/>
        </w:rPr>
        <w:t xml:space="preserve"> съществено около и над два пъти увеличаване на броя на постъпващите сигнали, като след избора на новия състав на Комисията този процес е особено интензивен. </w:t>
      </w:r>
      <w:r w:rsidRPr="005D78C4">
        <w:rPr>
          <w:rFonts w:ascii="Times New Roman" w:eastAsia="Times New Roman" w:hAnsi="Times New Roman" w:cs="Times New Roman"/>
          <w:sz w:val="24"/>
          <w:szCs w:val="24"/>
          <w:lang w:eastAsia="bg-BG"/>
        </w:rPr>
        <w:t>С оглед разпоредбите на ЗЗК сигналите, под формата на молба, жалба, искане или друг документ, които не отговаря на формалните изисквания на закона, сами по себе си не са основание за образуване на производство пред КЗК. Подобна информация обаче би могла да бъде изключително ценна за работата на Комисията и след предварително проучване на твърденията да доведе до самосезиране по реда на чл.38, ал.1, т.1 ЗЗК. В тази връзка КЗК разглежда всеки получен сигнал с оглед неговата конкретика и с цел да се направи преценка дали са налице основателни съмнения за евентуално извършено нарушение на разпоредбите на ЗЗК и съответно дали да се образува производство по реда на ЗЗК.</w:t>
      </w:r>
    </w:p>
    <w:p w14:paraId="5F6F1D7D" w14:textId="1FF5523D" w:rsidR="009C4511" w:rsidRPr="005D78C4" w:rsidRDefault="009C4511" w:rsidP="00DB66D9">
      <w:pPr>
        <w:pStyle w:val="ListParagraph"/>
        <w:numPr>
          <w:ilvl w:val="0"/>
          <w:numId w:val="31"/>
        </w:numPr>
        <w:spacing w:after="40" w:line="264" w:lineRule="auto"/>
        <w:ind w:left="0" w:firstLine="709"/>
        <w:jc w:val="both"/>
        <w:rPr>
          <w:rFonts w:ascii="Times New Roman" w:eastAsia="Times New Roman" w:hAnsi="Times New Roman" w:cs="Times New Roman"/>
          <w:lang w:eastAsia="bg-BG"/>
        </w:rPr>
      </w:pPr>
      <w:r w:rsidRPr="005D78C4">
        <w:rPr>
          <w:rFonts w:ascii="Times New Roman" w:eastAsia="Times New Roman" w:hAnsi="Times New Roman" w:cs="Times New Roman"/>
          <w:b/>
          <w:i/>
          <w:lang w:eastAsia="bg-BG"/>
        </w:rPr>
        <w:t xml:space="preserve">Постоянен мониторинг на поведението на участниците на пазарите със съществено социално-икономическо въздействие върху благосъстоянието на потребителите. </w:t>
      </w:r>
    </w:p>
    <w:p w14:paraId="67BD8666" w14:textId="77777777" w:rsidR="00C37B37" w:rsidRPr="005D78C4" w:rsidRDefault="00C37B37"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Конкретните сектори, които Комисия за защита на конкуренцията продължи да наблюдава с особено внимание през 2025 г. и по отношение на които образува приоритетно производства за установяване наличието на забранени споразумения или злоупотреби с господстващо положение, включват: сектор енергетика, горива  производство и търговия с храни и фармация. КЗК счита тези социално-значими сектори за приоритетни в дейността си по правоприлагане, тъй като голяма част от тях имат структуроопределящо значение за икономиката на страната, влияят значително на конкурентния процес и в други икономически сектори и засягат пряко обществения интерес.</w:t>
      </w:r>
    </w:p>
    <w:p w14:paraId="6CD9EA11" w14:textId="77777777" w:rsidR="00C37B37" w:rsidRPr="005D78C4" w:rsidRDefault="00C37B37"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Актуални и динамично развиващи се пазари като цифрова икономика и електронна търговия, финансови услуги, телекомуникации и други отново са приоритет за антитръстовата дейност на КЗК  през 2025 г.</w:t>
      </w:r>
    </w:p>
    <w:p w14:paraId="7EF58768" w14:textId="77777777" w:rsidR="00C37B37" w:rsidRPr="005D78C4" w:rsidRDefault="00C37B37"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През първото шестмесечие на 2025 г. експертите извършиха множество предварителни проучвания на постъпили искания и сигнали от граждани, голяма част от които касаят изменения на цените в приоритетните сектори, за има съмнения, че нямат обективна икономическа обосновка. В осъществявания мониторинг бе извършено и наблюдение на различни сектори с цел за наличие на установяване на злоупотреба с господстващо положение или евентуални координирани действия на някои участници на пазарите.  </w:t>
      </w:r>
    </w:p>
    <w:p w14:paraId="6F2AB57E" w14:textId="77777777" w:rsidR="00A24516" w:rsidRPr="005D78C4" w:rsidRDefault="009C4511"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b/>
          <w:i/>
          <w:sz w:val="24"/>
          <w:szCs w:val="24"/>
          <w:lang w:eastAsia="bg-BG"/>
        </w:rPr>
        <w:t>Мониторинг върху фармацевтичния и хранително-вкусовия сектор</w:t>
      </w:r>
    </w:p>
    <w:p w14:paraId="42597C11" w14:textId="77777777" w:rsidR="00C37B37" w:rsidRPr="005D78C4" w:rsidRDefault="00C37B37" w:rsidP="00DB66D9">
      <w:pPr>
        <w:tabs>
          <w:tab w:val="left" w:pos="993"/>
        </w:tabs>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През първото шестмесечие на 2025 г. Секторите Фармация и Храни, като основни приоритети на КЗК, бяха обект на постоянен мониторинг. </w:t>
      </w:r>
    </w:p>
    <w:p w14:paraId="7DF96F94" w14:textId="77777777" w:rsidR="00C37B37" w:rsidRPr="005D78C4" w:rsidRDefault="00C37B37" w:rsidP="00DB66D9">
      <w:pPr>
        <w:tabs>
          <w:tab w:val="left" w:pos="993"/>
        </w:tabs>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В началото на годината, във връзка с наблюдаваното повишение на основните хранителни стоки в страната, Комисията стартира широкообхватно проучване на всички данни и фактори, обуславящи наблюдавания ръст на цените. За целите на проучването бе изискана информация от производители, търговци на бързооборотни хранителни стоки и техни дистрибутори, за да установи начина на ценообразуване, условията на доставка и </w:t>
      </w:r>
      <w:r w:rsidRPr="005D78C4">
        <w:rPr>
          <w:rFonts w:ascii="Times New Roman" w:eastAsia="Times New Roman" w:hAnsi="Times New Roman" w:cs="Times New Roman"/>
          <w:sz w:val="24"/>
          <w:szCs w:val="24"/>
          <w:lang w:eastAsia="bg-BG"/>
        </w:rPr>
        <w:lastRenderedPageBreak/>
        <w:t xml:space="preserve">факторите, оказващи влияние върху изменението на цените в сектора. Фокус на проучването бяха основни хранителни стоки, като яйца, мляко и млечни продукти, месо, брашно, хляб, олио и др. </w:t>
      </w:r>
    </w:p>
    <w:p w14:paraId="653A695D" w14:textId="77777777" w:rsidR="00C37B37" w:rsidRPr="005D78C4" w:rsidRDefault="00C37B37" w:rsidP="00DB66D9">
      <w:pPr>
        <w:tabs>
          <w:tab w:val="left" w:pos="993"/>
        </w:tabs>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Допълнително, експерти на Комисията извършиха множество предварителни проучвания на постъпили сигнали на граждани, бе анализирана публично достъпната информация и  бяха наблюдавани публичните изявления на участниците  на пазарите на производство и търговия с хранителни продукти и/или техни обединения за евентуално антиконкурентно поведение в сектора.</w:t>
      </w:r>
    </w:p>
    <w:p w14:paraId="625E9C08" w14:textId="5710C0C9" w:rsidR="00C37B37" w:rsidRPr="005D78C4" w:rsidRDefault="00C37B37" w:rsidP="00DB66D9">
      <w:pPr>
        <w:tabs>
          <w:tab w:val="left" w:pos="993"/>
        </w:tabs>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На база събраната информация в хода на извършвания мониторинг, бяха установени редица проблеми в сектора, които породиха необходимост от по-задълбочено изследване, което да анализира в детайли структурата на пазара, пазарните условия, както и да бъдат установени причините за наблюдавания ръста на цените. Предвид всичко това, Комисията се самосезира и образува производство за извършване на секторен анализ на конкурентната среда на пазарите на бързооборотни хранителни стоки от първа необходимост.</w:t>
      </w:r>
    </w:p>
    <w:p w14:paraId="6294D092" w14:textId="77777777" w:rsidR="00C37B37" w:rsidRPr="005D78C4" w:rsidRDefault="00C37B37" w:rsidP="00DB66D9">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Предвид обществената и социална значимост на лекарствата за хуманна медицина, както и с оглед честите продължителни липси на някои лекарствени продукти на българския пазар, Комисията приоритетно наблюдава динамиката в сектора</w:t>
      </w:r>
    </w:p>
    <w:p w14:paraId="02125FF0" w14:textId="77777777" w:rsidR="00C37B37" w:rsidRPr="005D78C4" w:rsidRDefault="00C37B37"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В тази връзка Комисията през 2025 г. продължи да извършва мониторинг върху поведението</w:t>
      </w:r>
      <w:r w:rsidRPr="005D78C4">
        <w:rPr>
          <w:rFonts w:ascii="Times New Roman" w:hAnsi="Times New Roman" w:cs="Times New Roman"/>
          <w:sz w:val="24"/>
          <w:szCs w:val="24"/>
        </w:rPr>
        <w:t xml:space="preserve"> на участниците в сектора на всяко едно от нивата по веригата на доставка на лекарствени продукти. Експертите на КЗК следяха за евентуални антиконкурентни практики, които могат да доведат до диспропорции в снабдителния процес или нарушаване на конкуренцията между участниците на отделните нива по дистрибуционната верига.</w:t>
      </w:r>
    </w:p>
    <w:p w14:paraId="15F72713" w14:textId="77777777" w:rsidR="00C37B37" w:rsidRPr="005D78C4" w:rsidRDefault="00C37B37" w:rsidP="00DB66D9">
      <w:pPr>
        <w:spacing w:after="40" w:line="264" w:lineRule="auto"/>
        <w:ind w:firstLine="709"/>
        <w:jc w:val="both"/>
        <w:rPr>
          <w:rFonts w:ascii="Times New Roman" w:hAnsi="Times New Roman" w:cs="Times New Roman"/>
          <w:sz w:val="24"/>
          <w:szCs w:val="24"/>
        </w:rPr>
      </w:pPr>
      <w:r w:rsidRPr="005D78C4">
        <w:rPr>
          <w:rFonts w:ascii="Times New Roman" w:eastAsia="Times New Roman" w:hAnsi="Times New Roman" w:cs="Times New Roman"/>
          <w:sz w:val="24"/>
          <w:szCs w:val="24"/>
          <w:lang w:eastAsia="bg-BG"/>
        </w:rPr>
        <w:t>Комисията регулярно следи и публичните изявления на секторния регулатор, компетентните органи, браншовите и представителните организации, заети в сектора.</w:t>
      </w:r>
    </w:p>
    <w:p w14:paraId="45A2AFD0" w14:textId="77777777" w:rsidR="00C37B37" w:rsidRPr="005D78C4" w:rsidRDefault="00C37B37" w:rsidP="00DB66D9">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Комисията открои наличието на проблеми във фармацевтичния пазар и  сериозни съмнения за съществуването на бариери в дистрибуцията на лекарствени продукти и с оглед опасенията, свързани с предстоящото въвеждане на еврото от началото на 2026 г., бе инициирано производство за извършване на секторен анализ на конкурентната среда на пазарите на търговия на едро и на дребно с лекарствени продукти.</w:t>
      </w:r>
    </w:p>
    <w:p w14:paraId="05F3DA0B" w14:textId="4A3FA97A" w:rsidR="000058C3" w:rsidRPr="005D78C4" w:rsidRDefault="00193062" w:rsidP="00DB66D9">
      <w:pPr>
        <w:spacing w:after="40" w:line="264" w:lineRule="auto"/>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            </w:t>
      </w:r>
    </w:p>
    <w:p w14:paraId="29B4AA5B" w14:textId="0F13CEDE" w:rsidR="009C4511" w:rsidRPr="005D78C4" w:rsidRDefault="00193062"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 </w:t>
      </w:r>
      <w:r w:rsidR="009C4511" w:rsidRPr="005D78C4">
        <w:rPr>
          <w:rFonts w:ascii="Times New Roman" w:eastAsia="Times New Roman" w:hAnsi="Times New Roman" w:cs="Times New Roman"/>
          <w:b/>
          <w:i/>
          <w:sz w:val="24"/>
          <w:szCs w:val="24"/>
          <w:lang w:eastAsia="bg-BG"/>
        </w:rPr>
        <w:t>Мониторинг върху търговията с течни и твърди горива</w:t>
      </w:r>
    </w:p>
    <w:p w14:paraId="1B41C3FD" w14:textId="77777777" w:rsidR="00C37B37" w:rsidRPr="005D78C4" w:rsidRDefault="00C37B37" w:rsidP="00DB66D9">
      <w:pPr>
        <w:tabs>
          <w:tab w:val="left" w:pos="993"/>
        </w:tabs>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Секторът на моторните горива, включващ най-масово използваните в транспорта - автомобилен бензин и газьоли - дизелово гориво, продължава да има приоритетно значение в антитръстовото правоприлагане поради важното им социално-икономическо значение и прекия им ефект върху цялата икономика, включително и върху цените на стоките и услугите, предлагани на българския пазар.</w:t>
      </w:r>
    </w:p>
    <w:p w14:paraId="45088060" w14:textId="77777777" w:rsidR="00C37B37" w:rsidRPr="005D78C4" w:rsidRDefault="00C37B37" w:rsidP="0026348A">
      <w:pPr>
        <w:autoSpaceDE w:val="0"/>
        <w:autoSpaceDN w:val="0"/>
        <w:adjustRightInd w:val="0"/>
        <w:spacing w:after="40" w:line="264" w:lineRule="auto"/>
        <w:ind w:firstLine="709"/>
        <w:jc w:val="both"/>
        <w:rPr>
          <w:rFonts w:ascii="Times New Roman" w:hAnsi="Times New Roman" w:cs="Times New Roman"/>
          <w:sz w:val="24"/>
          <w:szCs w:val="24"/>
          <w:lang w:val="en-US"/>
        </w:rPr>
      </w:pPr>
      <w:r w:rsidRPr="005D78C4">
        <w:rPr>
          <w:rFonts w:ascii="Times New Roman" w:hAnsi="Times New Roman" w:cs="Times New Roman"/>
          <w:sz w:val="24"/>
          <w:szCs w:val="24"/>
        </w:rPr>
        <w:t xml:space="preserve">В тази връзка експерти на КЗК извършиха предварителни проучвания на постъпили сигнали, в това число съдържащи информация за умишлено ограничаване на вноса и търговията на едро на горива в страната. Получената информация беше присъединена към данни и доказателства, събрани от КЗК при осъществяване на регулярния мониторинг на сектора. </w:t>
      </w:r>
    </w:p>
    <w:p w14:paraId="7231B6F1" w14:textId="77777777" w:rsidR="00C37B37" w:rsidRPr="005D78C4" w:rsidRDefault="00C37B37" w:rsidP="0026348A">
      <w:pPr>
        <w:autoSpaceDE w:val="0"/>
        <w:autoSpaceDN w:val="0"/>
        <w:adjustRightInd w:val="0"/>
        <w:spacing w:after="40" w:line="264" w:lineRule="auto"/>
        <w:ind w:firstLine="709"/>
        <w:jc w:val="both"/>
        <w:rPr>
          <w:rFonts w:ascii="Times New Roman" w:hAnsi="Times New Roman" w:cs="Times New Roman"/>
          <w:sz w:val="24"/>
          <w:szCs w:val="24"/>
          <w:lang w:val="en-US"/>
        </w:rPr>
      </w:pPr>
      <w:r w:rsidRPr="005D78C4">
        <w:rPr>
          <w:rFonts w:ascii="Times New Roman" w:hAnsi="Times New Roman" w:cs="Times New Roman"/>
          <w:sz w:val="24"/>
          <w:szCs w:val="24"/>
        </w:rPr>
        <w:t xml:space="preserve">В хода на извършвания мониторинг КЗК анализира публично достъпни данни и такива, които са ѝ служебно известни. На база събраната и анализирана информация бяха породени съмнения за  наличие на антиконкурентно поведение от страна на </w:t>
      </w:r>
      <w:r w:rsidRPr="005D78C4">
        <w:rPr>
          <w:rFonts w:ascii="Times New Roman" w:hAnsi="Times New Roman" w:cs="Times New Roman"/>
          <w:sz w:val="24"/>
          <w:szCs w:val="24"/>
        </w:rPr>
        <w:lastRenderedPageBreak/>
        <w:t>„Лукойл България“ ЕООД и „</w:t>
      </w:r>
      <w:r w:rsidRPr="005D78C4">
        <w:rPr>
          <w:rFonts w:ascii="Times New Roman" w:eastAsia="Times New Roman" w:hAnsi="Times New Roman" w:cs="Times New Roman"/>
          <w:bCs/>
          <w:sz w:val="24"/>
          <w:szCs w:val="24"/>
        </w:rPr>
        <w:t>Лукойл Нефтохим Бургас“ АД</w:t>
      </w:r>
      <w:r w:rsidRPr="005D78C4">
        <w:rPr>
          <w:rFonts w:ascii="Times New Roman" w:hAnsi="Times New Roman" w:cs="Times New Roman"/>
          <w:sz w:val="24"/>
          <w:szCs w:val="24"/>
        </w:rPr>
        <w:t xml:space="preserve">. Предвид факта, че подобно поведение на господстващо предприятие би могло да окаже влияние върху структурата и пазарното поведение на останалите участници, опериращи в сектора на горивата в България и впоследствие върху крайния потребител, в противоречие с изискванията на конкуренцията и на свободната инициатива в стопанската дейност, Комисията се </w:t>
      </w:r>
      <w:r w:rsidRPr="005D78C4">
        <w:rPr>
          <w:rFonts w:ascii="Times New Roman" w:eastAsia="Times New Roman" w:hAnsi="Times New Roman" w:cs="Times New Roman"/>
          <w:sz w:val="24"/>
          <w:szCs w:val="24"/>
          <w:lang w:eastAsia="bg-BG"/>
        </w:rPr>
        <w:t xml:space="preserve">самосезира </w:t>
      </w:r>
      <w:r w:rsidRPr="005D78C4">
        <w:rPr>
          <w:rFonts w:ascii="Times New Roman" w:hAnsi="Times New Roman" w:cs="Times New Roman"/>
          <w:sz w:val="24"/>
          <w:szCs w:val="24"/>
        </w:rPr>
        <w:t>и образува производство за установяване на евентуални нарушения на националното и европейско конкурентно законодателство.</w:t>
      </w:r>
    </w:p>
    <w:p w14:paraId="141F6598" w14:textId="6A98122A" w:rsidR="009C4511" w:rsidRPr="005D78C4" w:rsidRDefault="009C4511" w:rsidP="00DB66D9">
      <w:pPr>
        <w:pStyle w:val="ListParagraph"/>
        <w:numPr>
          <w:ilvl w:val="0"/>
          <w:numId w:val="31"/>
        </w:numPr>
        <w:spacing w:after="40" w:line="264" w:lineRule="auto"/>
        <w:ind w:hanging="11"/>
        <w:jc w:val="both"/>
        <w:rPr>
          <w:rFonts w:ascii="Times New Roman" w:eastAsia="Times New Roman" w:hAnsi="Times New Roman" w:cs="Times New Roman"/>
          <w:b/>
          <w:i/>
          <w:lang w:eastAsia="bg-BG"/>
        </w:rPr>
      </w:pPr>
      <w:r w:rsidRPr="005D78C4">
        <w:rPr>
          <w:rFonts w:ascii="Times New Roman" w:eastAsia="Times New Roman" w:hAnsi="Times New Roman" w:cs="Times New Roman"/>
          <w:b/>
          <w:i/>
          <w:lang w:eastAsia="bg-BG"/>
        </w:rPr>
        <w:t>Противодействие срещу тръжните манипулации</w:t>
      </w:r>
    </w:p>
    <w:p w14:paraId="659A05B9" w14:textId="77777777" w:rsidR="00C37B37" w:rsidRPr="005D78C4" w:rsidRDefault="00C37B37"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През първото шестмесечие на 2025 г. усилията на Комисията отново бяха насочени към установяването и санкционирането на споразумения или практики между конкуренти за манипулиране на процедури за възлагане на обществени поръчки. </w:t>
      </w:r>
    </w:p>
    <w:p w14:paraId="60DA8756" w14:textId="77777777" w:rsidR="00C37B37" w:rsidRPr="005D78C4" w:rsidRDefault="00C37B37"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Вследствие на проведената активна кампания на Комисията в сътрудничество с ОИСР за популяризиране на дейността в областта на борбата с тръжните манипулации, както и вече установеното добро сътрудничество с публичните възложители, при КЗК продължиха да постъпват сигнали, съдържащи данни за възможни манипулации на обществени поръчки. В тази връзка усилията на експертите на Комисията бяха насочени и върху извършването на предварителни проучвания на тези сигнали. </w:t>
      </w:r>
    </w:p>
    <w:p w14:paraId="3A86D51F" w14:textId="77777777" w:rsidR="00C37B37" w:rsidRPr="005D78C4" w:rsidRDefault="00C37B37"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В рамките на тези проучвания бе извършена подробна проверка на предоставените данни, на публично достъпната информация от Централната автоматична информационна система на АОП и Търговския регистър, както и бе изискана документация от Възложители, АОП и участници.</w:t>
      </w:r>
    </w:p>
    <w:p w14:paraId="0AFB0339" w14:textId="15FCD0FA" w:rsidR="009C4511" w:rsidRPr="005D78C4" w:rsidRDefault="009C4511" w:rsidP="00DB66D9">
      <w:pPr>
        <w:pStyle w:val="ListParagraph"/>
        <w:numPr>
          <w:ilvl w:val="0"/>
          <w:numId w:val="31"/>
        </w:numPr>
        <w:spacing w:after="40" w:line="264" w:lineRule="auto"/>
        <w:ind w:hanging="11"/>
        <w:jc w:val="both"/>
        <w:rPr>
          <w:rFonts w:ascii="Times New Roman" w:eastAsia="Times New Roman" w:hAnsi="Times New Roman" w:cs="Times New Roman"/>
          <w:b/>
          <w:i/>
          <w:lang w:eastAsia="bg-BG"/>
        </w:rPr>
      </w:pPr>
      <w:r w:rsidRPr="005D78C4">
        <w:rPr>
          <w:rFonts w:ascii="Times New Roman" w:eastAsia="Times New Roman" w:hAnsi="Times New Roman" w:cs="Times New Roman"/>
          <w:b/>
          <w:i/>
          <w:lang w:eastAsia="bg-BG"/>
        </w:rPr>
        <w:t>Сътрудничество с ЕК и международна дейност</w:t>
      </w:r>
    </w:p>
    <w:p w14:paraId="66F751EC" w14:textId="77777777" w:rsidR="00B17DD8" w:rsidRPr="005D78C4" w:rsidRDefault="00B17DD8"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Съгласно чл.3, ал.1 от Регламент (ЕО) № 1/2003 на Съвета от 16.12.2002 г. относно изпълнението на правилата за конкуренция, предвидени в членове 81 и 82 от ДФЕС (понастоящем чл.101 и чл.102 от ДФЕС), когато национален орган по конкуренция прилага националното си законодателство към споразумение, решение или съгласувана практика по смисъла на чл.101 и спрямо поведение на злоупотреба по смисъла на чл.102 от ДФЕС, които могат да повлияят върху търговията между страните-членки, същият винаги трябва да прилага паралелно и тези разпоредби. Предвид това Регламентът задължава всички национални органи по конкуренция в ЕС да прилагат посочените европейски разпоредби за защита на конкуренцията в тясно сътрудничество помежду си. За тях се предоставят широки права за обмен на информация и за съдействие при извършване на разследванията, за да може сътрудничеството между тях да бъде ефективно и да води до непротиворечиво прилагане на европейските правила за конкуренция. Сътрудничеството включва задължението на всеки национален орган по конкуренция да уведоми ЕК за всички образувани национални производства, свързани с прилагането на чл.101 и чл.102 от ДФЕС и преди приемане на решение, с което се изисква прекратяване на нарушение, се приемат ангажименти или се оттегля възможността за прилагане на регламент за групово освобождаване от забрана.</w:t>
      </w:r>
    </w:p>
    <w:p w14:paraId="390EA9AB" w14:textId="77777777" w:rsidR="00B17DD8" w:rsidRPr="005D78C4" w:rsidRDefault="00B17DD8"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Компетентният национален орган да прилага чл.101 и чл.102 от ДФЕС, е Комисия за защита на конкуренцията, която в рамките на предвиденото от Регламента сътрудничество, е и член на Европейската мрежа по конкуренция (ЕМК), в която участва и самата ЕК (чрез Генерална дирекция „Конкуренция“). ЕМК представлява механизъм за оптимално разпределение на случаите и размяна на информация между членовете й. Отново с оглед прилагане на общностното законодателство в тясно сътрудничество, КЗК също така е част и от Консултативен комитет, който се състои от представители на </w:t>
      </w:r>
      <w:r w:rsidRPr="005D78C4">
        <w:rPr>
          <w:rFonts w:ascii="Times New Roman" w:eastAsia="Times New Roman" w:hAnsi="Times New Roman" w:cs="Times New Roman"/>
          <w:sz w:val="24"/>
          <w:szCs w:val="24"/>
          <w:lang w:eastAsia="bg-BG"/>
        </w:rPr>
        <w:lastRenderedPageBreak/>
        <w:t>всички органи по конкуренция на държавите-членки. ЕК се допитва до Консултативния комитет по ограничителни практики и господстващо положение, преди да вземе решение. За обсъждането на отделните казуси консултативният комитет се състои от представители на органите по конкуренция на държавите-членки.</w:t>
      </w:r>
    </w:p>
    <w:p w14:paraId="028FE449" w14:textId="36EDEF40" w:rsidR="00B17DD8" w:rsidRPr="005D78C4" w:rsidRDefault="00B17DD8"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През първото шестмесечие на 2025 г. експерти от отдел Антитръст изготвиха отговори по 19 въпросника от Европейската мрежа по конкуренция (ЕМК) и Международната мрежа по конкуренция (ММК) и взеха участие в 8 срещи, уебинари и обучения, организирани както от Европейската и Международната мрежи по конкуренция, така и от Организацията за икономическо сътрудничество и развитие (ОИСР), отделни национални ведомства по конкуренция и други организации.</w:t>
      </w:r>
      <w:r w:rsidRPr="005D78C4">
        <w:rPr>
          <w:rFonts w:ascii="Times New Roman" w:eastAsia="Times New Roman" w:hAnsi="Times New Roman" w:cs="Times New Roman"/>
          <w:b/>
          <w:sz w:val="24"/>
          <w:szCs w:val="24"/>
          <w:lang w:eastAsia="bg-BG"/>
        </w:rPr>
        <w:t xml:space="preserve"> </w:t>
      </w:r>
    </w:p>
    <w:p w14:paraId="65356BDB" w14:textId="7A626752" w:rsidR="00B17DD8" w:rsidRPr="005D78C4" w:rsidRDefault="00B17DD8"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hAnsi="Times New Roman" w:cs="Times New Roman"/>
          <w:sz w:val="24"/>
          <w:szCs w:val="24"/>
        </w:rPr>
        <w:t xml:space="preserve">В рамките на проекта </w:t>
      </w:r>
      <w:r w:rsidRPr="005D78C4">
        <w:rPr>
          <w:rFonts w:ascii="Times New Roman" w:hAnsi="Times New Roman" w:cs="Times New Roman"/>
          <w:b/>
          <w:i/>
          <w:sz w:val="24"/>
          <w:szCs w:val="24"/>
        </w:rPr>
        <w:t>„Борба с тръжните манипулации при обществени поръчки: подобряване на съответствието и конкуренцията за обществени поръчки“</w:t>
      </w:r>
      <w:r w:rsidRPr="005D78C4">
        <w:rPr>
          <w:rFonts w:ascii="Times New Roman" w:hAnsi="Times New Roman" w:cs="Times New Roman"/>
          <w:sz w:val="24"/>
          <w:szCs w:val="24"/>
        </w:rPr>
        <w:t>,</w:t>
      </w:r>
      <w:r w:rsidRPr="005D78C4">
        <w:rPr>
          <w:rFonts w:ascii="Times New Roman" w:hAnsi="Times New Roman" w:cs="Times New Roman"/>
          <w:b/>
          <w:sz w:val="24"/>
          <w:szCs w:val="24"/>
        </w:rPr>
        <w:t xml:space="preserve"> </w:t>
      </w:r>
      <w:r w:rsidRPr="005D78C4">
        <w:rPr>
          <w:rFonts w:ascii="Times New Roman" w:hAnsi="Times New Roman" w:cs="Times New Roman"/>
          <w:sz w:val="24"/>
          <w:szCs w:val="24"/>
        </w:rPr>
        <w:t xml:space="preserve">който се изпълнява от </w:t>
      </w:r>
      <w:r w:rsidR="00693836" w:rsidRPr="005D78C4">
        <w:rPr>
          <w:rFonts w:ascii="Times New Roman" w:hAnsi="Times New Roman" w:cs="Times New Roman"/>
          <w:sz w:val="24"/>
          <w:szCs w:val="24"/>
        </w:rPr>
        <w:t>ОИСР</w:t>
      </w:r>
      <w:r w:rsidRPr="005D78C4">
        <w:rPr>
          <w:rFonts w:ascii="Times New Roman" w:hAnsi="Times New Roman" w:cs="Times New Roman"/>
          <w:sz w:val="24"/>
          <w:szCs w:val="24"/>
        </w:rPr>
        <w:t xml:space="preserve"> и се финансира от Европейския съюз, експерти от Комисията участваха като лектори и обучители на проведените в </w:t>
      </w:r>
      <w:r w:rsidRPr="005D78C4">
        <w:rPr>
          <w:rFonts w:ascii="Times New Roman" w:hAnsi="Times New Roman" w:cs="Times New Roman"/>
          <w:sz w:val="24"/>
          <w:szCs w:val="24"/>
          <w:shd w:val="clear" w:color="auto" w:fill="FFFFFF"/>
        </w:rPr>
        <w:t>Гърция, Кипър, Румъния и Хърватия</w:t>
      </w:r>
      <w:r w:rsidRPr="005D78C4">
        <w:rPr>
          <w:rFonts w:ascii="Times New Roman" w:hAnsi="Times New Roman" w:cs="Times New Roman"/>
          <w:sz w:val="24"/>
          <w:szCs w:val="24"/>
        </w:rPr>
        <w:t xml:space="preserve"> семинари за възложители. </w:t>
      </w:r>
      <w:r w:rsidRPr="005D78C4">
        <w:rPr>
          <w:rFonts w:ascii="Times New Roman" w:hAnsi="Times New Roman" w:cs="Times New Roman"/>
          <w:sz w:val="24"/>
          <w:szCs w:val="24"/>
          <w:shd w:val="clear" w:color="auto" w:fill="FFFFFF"/>
        </w:rPr>
        <w:t>Проектът се изпълнява от ОИСР и се финансира от Европейския съюз по програма „Технически инструмент за подкрепа“ (Technical Support Instrument-TSI) на Главна дирекция „Подкрепа на структурните реформи“ на Европейската комисия. Основната цел е да повиши информираността на институциите и бизнеса за същността и индикациите за тръжни манипулации и да подобри координацията между всички участници в процедурите за възлагане на обществени поръчки (възложители, контролните органи, бизнеса).</w:t>
      </w:r>
    </w:p>
    <w:p w14:paraId="4D779843" w14:textId="193C368D" w:rsidR="00B17DD8" w:rsidRPr="005D78C4" w:rsidRDefault="00B17DD8" w:rsidP="00DB66D9">
      <w:pPr>
        <w:tabs>
          <w:tab w:val="left" w:pos="993"/>
        </w:tabs>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 xml:space="preserve">Експерти от отдел „Антитръст“ участваха също в дискусиите и при изготвяне на докладите във връзка с </w:t>
      </w:r>
      <w:r w:rsidRPr="005D78C4">
        <w:rPr>
          <w:rFonts w:ascii="Times New Roman" w:hAnsi="Times New Roman" w:cs="Times New Roman"/>
          <w:b/>
          <w:i/>
          <w:sz w:val="24"/>
          <w:szCs w:val="24"/>
        </w:rPr>
        <w:t>международния проект „Изчислителен антитръст“</w:t>
      </w:r>
      <w:r w:rsidRPr="005D78C4">
        <w:rPr>
          <w:rFonts w:ascii="Times New Roman" w:hAnsi="Times New Roman" w:cs="Times New Roman"/>
          <w:sz w:val="24"/>
          <w:szCs w:val="24"/>
        </w:rPr>
        <w:t xml:space="preserve">, организиран от Център Кодекс към Университета Станфорд и ръководен от проф. Тибо Шрепел. Целта на проекта е да създаде мрежа от антитръстови и конкурентни ведомства за обсъждане на изчислителни нововъведения и тяхното приложение. </w:t>
      </w:r>
    </w:p>
    <w:p w14:paraId="48A79394" w14:textId="77777777" w:rsidR="00B20006" w:rsidRPr="005D78C4" w:rsidRDefault="00B20006" w:rsidP="00DB66D9">
      <w:pPr>
        <w:spacing w:after="40" w:line="264" w:lineRule="auto"/>
        <w:ind w:firstLine="709"/>
        <w:jc w:val="both"/>
        <w:rPr>
          <w:rFonts w:ascii="Times New Roman" w:eastAsia="Times New Roman" w:hAnsi="Times New Roman" w:cs="Times New Roman"/>
          <w:sz w:val="24"/>
          <w:szCs w:val="24"/>
          <w:lang w:eastAsia="bg-BG"/>
        </w:rPr>
      </w:pPr>
    </w:p>
    <w:p w14:paraId="0C3C61BC" w14:textId="69F890EF" w:rsidR="002052FC" w:rsidRPr="005D78C4" w:rsidRDefault="000C658C" w:rsidP="00DB66D9">
      <w:pPr>
        <w:numPr>
          <w:ilvl w:val="0"/>
          <w:numId w:val="12"/>
        </w:numPr>
        <w:spacing w:after="40" w:line="264" w:lineRule="auto"/>
        <w:outlineLvl w:val="0"/>
        <w:rPr>
          <w:rFonts w:ascii="Times New Roman" w:eastAsia="Calibri" w:hAnsi="Times New Roman" w:cs="Times New Roman"/>
          <w:b/>
          <w:sz w:val="24"/>
          <w:szCs w:val="24"/>
          <w:lang w:eastAsia="bg-BG"/>
        </w:rPr>
      </w:pPr>
      <w:r w:rsidRPr="005D78C4">
        <w:rPr>
          <w:rFonts w:ascii="Times New Roman" w:eastAsia="Calibri" w:hAnsi="Times New Roman" w:cs="Times New Roman"/>
          <w:b/>
          <w:sz w:val="24"/>
          <w:szCs w:val="24"/>
          <w:lang w:eastAsia="bg-BG"/>
        </w:rPr>
        <w:t xml:space="preserve">Контрол върху концентрациите между предприятия (Глава </w:t>
      </w:r>
      <w:r w:rsidRPr="005D78C4">
        <w:rPr>
          <w:rFonts w:ascii="Times New Roman" w:eastAsia="Calibri" w:hAnsi="Times New Roman" w:cs="Times New Roman"/>
          <w:b/>
          <w:sz w:val="24"/>
          <w:szCs w:val="24"/>
          <w:lang w:val="en-US" w:eastAsia="bg-BG"/>
        </w:rPr>
        <w:t>V</w:t>
      </w:r>
      <w:r w:rsidRPr="005D78C4">
        <w:rPr>
          <w:rFonts w:ascii="Times New Roman" w:eastAsia="Calibri" w:hAnsi="Times New Roman" w:cs="Times New Roman"/>
          <w:b/>
          <w:sz w:val="24"/>
          <w:szCs w:val="24"/>
          <w:lang w:eastAsia="bg-BG"/>
        </w:rPr>
        <w:t xml:space="preserve"> от ЗЗК).</w:t>
      </w:r>
    </w:p>
    <w:p w14:paraId="45954077" w14:textId="31DAF55F" w:rsidR="00441346" w:rsidRPr="005D78C4" w:rsidRDefault="00441346" w:rsidP="00DB66D9">
      <w:pPr>
        <w:pStyle w:val="ListParagraph"/>
        <w:numPr>
          <w:ilvl w:val="0"/>
          <w:numId w:val="16"/>
        </w:numPr>
        <w:spacing w:after="40" w:line="264" w:lineRule="auto"/>
        <w:contextualSpacing/>
        <w:jc w:val="both"/>
        <w:rPr>
          <w:rFonts w:ascii="Times New Roman" w:eastAsia="Times New Roman" w:hAnsi="Times New Roman" w:cs="Times New Roman"/>
          <w:b/>
          <w:lang w:eastAsia="bg-BG"/>
        </w:rPr>
      </w:pPr>
      <w:r w:rsidRPr="005D78C4">
        <w:rPr>
          <w:rFonts w:ascii="Times New Roman" w:eastAsia="Times New Roman" w:hAnsi="Times New Roman" w:cs="Times New Roman"/>
          <w:b/>
          <w:lang w:eastAsia="bg-BG"/>
        </w:rPr>
        <w:t xml:space="preserve">Образувани производства </w:t>
      </w:r>
    </w:p>
    <w:p w14:paraId="34DE879B" w14:textId="77777777" w:rsidR="00D5673B" w:rsidRPr="005D78C4" w:rsidRDefault="00D5673B"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През първото полугодие на 2025 г. </w:t>
      </w:r>
      <w:r w:rsidRPr="005D78C4">
        <w:rPr>
          <w:rFonts w:ascii="Times New Roman" w:eastAsia="Times New Roman" w:hAnsi="Times New Roman" w:cs="Times New Roman"/>
          <w:b/>
          <w:sz w:val="24"/>
          <w:szCs w:val="24"/>
          <w:lang w:eastAsia="bg-BG"/>
        </w:rPr>
        <w:t>постъпиха</w:t>
      </w:r>
      <w:r w:rsidRPr="005D78C4">
        <w:rPr>
          <w:rFonts w:ascii="Times New Roman" w:eastAsia="Times New Roman" w:hAnsi="Times New Roman" w:cs="Times New Roman"/>
          <w:sz w:val="24"/>
          <w:szCs w:val="24"/>
          <w:lang w:eastAsia="bg-BG"/>
        </w:rPr>
        <w:t xml:space="preserve"> </w:t>
      </w:r>
      <w:r w:rsidRPr="005D78C4">
        <w:rPr>
          <w:rFonts w:ascii="Times New Roman" w:eastAsia="Times New Roman" w:hAnsi="Times New Roman" w:cs="Times New Roman"/>
          <w:b/>
          <w:sz w:val="24"/>
          <w:szCs w:val="24"/>
          <w:lang w:eastAsia="bg-BG"/>
        </w:rPr>
        <w:t>общо</w:t>
      </w:r>
      <w:r w:rsidRPr="005D78C4">
        <w:rPr>
          <w:rFonts w:ascii="Times New Roman" w:eastAsia="Times New Roman" w:hAnsi="Times New Roman" w:cs="Times New Roman"/>
          <w:sz w:val="24"/>
          <w:szCs w:val="24"/>
          <w:lang w:eastAsia="bg-BG"/>
        </w:rPr>
        <w:t xml:space="preserve"> </w:t>
      </w:r>
      <w:r w:rsidRPr="005D78C4">
        <w:rPr>
          <w:rFonts w:ascii="Times New Roman" w:eastAsia="Times New Roman" w:hAnsi="Times New Roman" w:cs="Times New Roman"/>
          <w:b/>
          <w:sz w:val="24"/>
          <w:szCs w:val="24"/>
          <w:lang w:eastAsia="bg-BG"/>
        </w:rPr>
        <w:t>1</w:t>
      </w:r>
      <w:r w:rsidRPr="005D78C4">
        <w:rPr>
          <w:rFonts w:ascii="Times New Roman" w:eastAsia="Times New Roman" w:hAnsi="Times New Roman" w:cs="Times New Roman"/>
          <w:b/>
          <w:sz w:val="24"/>
          <w:szCs w:val="24"/>
          <w:lang w:val="en-US" w:eastAsia="bg-BG"/>
        </w:rPr>
        <w:t>1</w:t>
      </w:r>
      <w:r w:rsidRPr="005D78C4">
        <w:rPr>
          <w:rFonts w:ascii="Times New Roman" w:eastAsia="Times New Roman" w:hAnsi="Times New Roman" w:cs="Times New Roman"/>
          <w:b/>
          <w:sz w:val="24"/>
          <w:szCs w:val="24"/>
          <w:lang w:eastAsia="bg-BG"/>
        </w:rPr>
        <w:t xml:space="preserve"> (единадесет)</w:t>
      </w:r>
      <w:r w:rsidRPr="005D78C4">
        <w:rPr>
          <w:rFonts w:ascii="Times New Roman" w:eastAsia="Times New Roman" w:hAnsi="Times New Roman" w:cs="Times New Roman"/>
          <w:sz w:val="24"/>
          <w:szCs w:val="24"/>
          <w:lang w:eastAsia="bg-BG"/>
        </w:rPr>
        <w:t xml:space="preserve"> </w:t>
      </w:r>
      <w:r w:rsidRPr="005D78C4">
        <w:rPr>
          <w:rFonts w:ascii="Times New Roman" w:eastAsia="Times New Roman" w:hAnsi="Times New Roman" w:cs="Times New Roman"/>
          <w:b/>
          <w:sz w:val="24"/>
          <w:szCs w:val="24"/>
          <w:lang w:eastAsia="bg-BG"/>
        </w:rPr>
        <w:t>уведомления</w:t>
      </w:r>
      <w:r w:rsidRPr="005D78C4">
        <w:rPr>
          <w:rFonts w:ascii="Times New Roman" w:eastAsia="Times New Roman" w:hAnsi="Times New Roman" w:cs="Times New Roman"/>
          <w:sz w:val="24"/>
          <w:szCs w:val="24"/>
          <w:lang w:eastAsia="bg-BG"/>
        </w:rPr>
        <w:t xml:space="preserve"> за разрешаване на концентрации между предприятия. За същия период броят на</w:t>
      </w:r>
      <w:r w:rsidRPr="005D78C4">
        <w:rPr>
          <w:rFonts w:ascii="Times New Roman" w:eastAsia="Times New Roman" w:hAnsi="Times New Roman" w:cs="Times New Roman"/>
          <w:b/>
          <w:sz w:val="24"/>
          <w:szCs w:val="24"/>
          <w:lang w:eastAsia="bg-BG"/>
        </w:rPr>
        <w:t xml:space="preserve"> образуваните производства</w:t>
      </w:r>
      <w:r w:rsidRPr="005D78C4">
        <w:rPr>
          <w:rStyle w:val="FootnoteReference"/>
          <w:rFonts w:ascii="Times New Roman" w:eastAsia="Times New Roman" w:hAnsi="Times New Roman" w:cs="Times New Roman"/>
          <w:b/>
          <w:sz w:val="24"/>
          <w:szCs w:val="24"/>
          <w:lang w:eastAsia="bg-BG"/>
        </w:rPr>
        <w:footnoteReference w:id="7"/>
      </w:r>
      <w:r w:rsidRPr="005D78C4">
        <w:rPr>
          <w:rFonts w:ascii="Times New Roman" w:eastAsia="Times New Roman" w:hAnsi="Times New Roman" w:cs="Times New Roman"/>
          <w:b/>
          <w:sz w:val="24"/>
          <w:szCs w:val="24"/>
          <w:lang w:eastAsia="bg-BG"/>
        </w:rPr>
        <w:t xml:space="preserve"> е общо 13 (тринадесет)</w:t>
      </w:r>
      <w:r w:rsidRPr="005D78C4">
        <w:rPr>
          <w:rFonts w:ascii="Times New Roman" w:eastAsia="Times New Roman" w:hAnsi="Times New Roman" w:cs="Times New Roman"/>
          <w:sz w:val="24"/>
          <w:szCs w:val="24"/>
          <w:lang w:eastAsia="bg-BG"/>
        </w:rPr>
        <w:t>, с две производства повече спрямо същия период на предходната 2024 г. (11 производства).</w:t>
      </w:r>
    </w:p>
    <w:p w14:paraId="58051B1A" w14:textId="77777777" w:rsidR="00D5673B" w:rsidRPr="005D78C4" w:rsidRDefault="00D5673B"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За отчетния период не са образувани производства по реда на чл. 38, ал. 1 от ЗЗК във връзка с чл.78, ал.3 от ЗЗК и съответно не са били наложени мерки за възстановяване на ефективната конкуренция съгласно чл. 90 ЗЗК.</w:t>
      </w:r>
    </w:p>
    <w:p w14:paraId="719EE863" w14:textId="74C6BFA3" w:rsidR="00441346" w:rsidRPr="005D78C4" w:rsidRDefault="00441346" w:rsidP="00DB66D9">
      <w:pPr>
        <w:pStyle w:val="ListParagraph"/>
        <w:numPr>
          <w:ilvl w:val="0"/>
          <w:numId w:val="16"/>
        </w:numPr>
        <w:spacing w:after="40" w:line="264" w:lineRule="auto"/>
        <w:jc w:val="both"/>
        <w:rPr>
          <w:rFonts w:ascii="Times New Roman" w:eastAsia="Times New Roman" w:hAnsi="Times New Roman" w:cs="Times New Roman"/>
          <w:lang w:eastAsia="bg-BG"/>
        </w:rPr>
      </w:pPr>
      <w:r w:rsidRPr="005D78C4">
        <w:rPr>
          <w:rFonts w:ascii="Times New Roman" w:eastAsia="Times New Roman" w:hAnsi="Times New Roman" w:cs="Times New Roman"/>
          <w:b/>
          <w:lang w:eastAsia="bg-BG"/>
        </w:rPr>
        <w:t xml:space="preserve">Постановени решения </w:t>
      </w:r>
    </w:p>
    <w:p w14:paraId="22372F99" w14:textId="77777777" w:rsidR="00D5673B" w:rsidRPr="005D78C4" w:rsidRDefault="00D5673B" w:rsidP="00DB66D9">
      <w:pPr>
        <w:spacing w:after="40" w:line="264" w:lineRule="auto"/>
        <w:ind w:firstLine="708"/>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За отчетния период Комисията</w:t>
      </w:r>
      <w:r w:rsidRPr="005D78C4">
        <w:rPr>
          <w:rFonts w:ascii="Times New Roman" w:eastAsia="Times New Roman" w:hAnsi="Times New Roman" w:cs="Times New Roman"/>
          <w:b/>
          <w:sz w:val="24"/>
          <w:szCs w:val="24"/>
          <w:lang w:eastAsia="bg-BG"/>
        </w:rPr>
        <w:t xml:space="preserve"> постанови общо 12 (дванадесет) решения</w:t>
      </w:r>
      <w:r w:rsidRPr="005D78C4">
        <w:rPr>
          <w:rFonts w:ascii="Times New Roman" w:eastAsia="Times New Roman" w:hAnsi="Times New Roman" w:cs="Times New Roman"/>
          <w:sz w:val="24"/>
          <w:szCs w:val="24"/>
          <w:lang w:eastAsia="bg-BG"/>
        </w:rPr>
        <w:t xml:space="preserve">, като </w:t>
      </w:r>
      <w:r w:rsidRPr="005D78C4">
        <w:rPr>
          <w:rFonts w:ascii="Times New Roman" w:eastAsia="Times New Roman" w:hAnsi="Times New Roman" w:cs="Times New Roman"/>
          <w:b/>
          <w:sz w:val="24"/>
          <w:szCs w:val="24"/>
          <w:lang w:eastAsia="bg-BG"/>
        </w:rPr>
        <w:t xml:space="preserve">1 (едно) </w:t>
      </w:r>
      <w:r w:rsidRPr="005D78C4">
        <w:rPr>
          <w:rFonts w:ascii="Times New Roman" w:eastAsia="Times New Roman" w:hAnsi="Times New Roman" w:cs="Times New Roman"/>
          <w:sz w:val="24"/>
          <w:szCs w:val="24"/>
          <w:lang w:eastAsia="bg-BG"/>
        </w:rPr>
        <w:t xml:space="preserve">от тях е постановено по образувано през 2024 г. производство (Р. № 41/16.01.2025 г. по КЗК/1054/24 г. - Дженерали ЦИЕ Холдинг Б.В./"Обединен здравноосигурителен фонд (ОЗОФ) Доверие” ЗАД). От тях: </w:t>
      </w:r>
    </w:p>
    <w:p w14:paraId="3A29D45A" w14:textId="77777777" w:rsidR="00D5673B" w:rsidRPr="005D78C4" w:rsidRDefault="00D5673B"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 </w:t>
      </w:r>
      <w:r w:rsidRPr="005D78C4">
        <w:rPr>
          <w:rFonts w:ascii="Times New Roman" w:eastAsia="Times New Roman" w:hAnsi="Times New Roman" w:cs="Times New Roman"/>
          <w:b/>
          <w:sz w:val="24"/>
          <w:szCs w:val="24"/>
          <w:lang w:eastAsia="bg-BG"/>
        </w:rPr>
        <w:t>на</w:t>
      </w:r>
      <w:r w:rsidRPr="005D78C4">
        <w:rPr>
          <w:rFonts w:ascii="Times New Roman" w:eastAsia="Times New Roman" w:hAnsi="Times New Roman" w:cs="Times New Roman"/>
          <w:sz w:val="24"/>
          <w:szCs w:val="24"/>
          <w:lang w:eastAsia="bg-BG"/>
        </w:rPr>
        <w:t xml:space="preserve"> </w:t>
      </w:r>
      <w:r w:rsidRPr="005D78C4">
        <w:rPr>
          <w:rFonts w:ascii="Times New Roman" w:eastAsia="Times New Roman" w:hAnsi="Times New Roman" w:cs="Times New Roman"/>
          <w:b/>
          <w:sz w:val="24"/>
          <w:szCs w:val="24"/>
          <w:lang w:eastAsia="bg-BG"/>
        </w:rPr>
        <w:t>основание чл.60, ал.1, т.14, във връзка с чл.82, ал.3, т.2 от ЗЗК</w:t>
      </w:r>
      <w:r w:rsidRPr="005D78C4">
        <w:rPr>
          <w:rFonts w:ascii="Times New Roman" w:eastAsia="Times New Roman" w:hAnsi="Times New Roman" w:cs="Times New Roman"/>
          <w:sz w:val="24"/>
          <w:szCs w:val="24"/>
          <w:lang w:eastAsia="bg-BG"/>
        </w:rPr>
        <w:t xml:space="preserve"> Комисията разрешава концентрацията между предприятия – общо </w:t>
      </w:r>
      <w:r w:rsidRPr="005D78C4">
        <w:rPr>
          <w:rFonts w:ascii="Times New Roman" w:eastAsia="Times New Roman" w:hAnsi="Times New Roman" w:cs="Times New Roman"/>
          <w:b/>
          <w:sz w:val="24"/>
          <w:szCs w:val="24"/>
          <w:lang w:eastAsia="bg-BG"/>
        </w:rPr>
        <w:t xml:space="preserve">11 </w:t>
      </w:r>
      <w:r w:rsidRPr="005D78C4">
        <w:rPr>
          <w:rFonts w:ascii="Times New Roman" w:eastAsia="Times New Roman" w:hAnsi="Times New Roman" w:cs="Times New Roman"/>
          <w:sz w:val="24"/>
          <w:szCs w:val="24"/>
          <w:lang w:eastAsia="bg-BG"/>
        </w:rPr>
        <w:t>решения;</w:t>
      </w:r>
    </w:p>
    <w:p w14:paraId="153F4688" w14:textId="3FCB22C6" w:rsidR="00D5673B" w:rsidRPr="005D78C4" w:rsidRDefault="00D5673B" w:rsidP="00DB66D9">
      <w:pPr>
        <w:spacing w:after="40" w:line="264" w:lineRule="auto"/>
        <w:ind w:firstLine="709"/>
        <w:jc w:val="both"/>
        <w:rPr>
          <w:rFonts w:ascii="Times New Roman" w:eastAsia="Times New Roman" w:hAnsi="Times New Roman" w:cs="Times New Roman"/>
          <w:b/>
          <w:sz w:val="24"/>
          <w:szCs w:val="24"/>
          <w:lang w:eastAsia="bg-BG"/>
        </w:rPr>
      </w:pPr>
      <w:r w:rsidRPr="005D78C4">
        <w:rPr>
          <w:rFonts w:ascii="Times New Roman" w:eastAsia="Times New Roman" w:hAnsi="Times New Roman" w:cs="Times New Roman"/>
          <w:b/>
          <w:sz w:val="24"/>
          <w:szCs w:val="24"/>
          <w:lang w:eastAsia="bg-BG"/>
        </w:rPr>
        <w:lastRenderedPageBreak/>
        <w:t xml:space="preserve">- на основание чл.60, ал.1, т.13, във връзка с чл.82, ал.3, т.1, предл. второ от ЗЗК </w:t>
      </w:r>
      <w:r w:rsidRPr="005D78C4">
        <w:rPr>
          <w:rFonts w:ascii="Times New Roman" w:eastAsia="Times New Roman" w:hAnsi="Times New Roman" w:cs="Times New Roman"/>
          <w:sz w:val="24"/>
          <w:szCs w:val="24"/>
          <w:lang w:eastAsia="bg-BG"/>
        </w:rPr>
        <w:t xml:space="preserve">Комисията постанови, че сделката не попада в обхвата на задължението за предварително уведомяване по чл. 24, ал. 1 от ЗЗК </w:t>
      </w:r>
      <w:r w:rsidRPr="005D78C4">
        <w:rPr>
          <w:rFonts w:ascii="Times New Roman" w:eastAsia="Times New Roman" w:hAnsi="Times New Roman" w:cs="Times New Roman"/>
          <w:b/>
          <w:sz w:val="24"/>
          <w:szCs w:val="24"/>
          <w:lang w:eastAsia="bg-BG"/>
        </w:rPr>
        <w:t xml:space="preserve">– </w:t>
      </w:r>
      <w:r w:rsidRPr="005D78C4">
        <w:rPr>
          <w:rFonts w:ascii="Times New Roman" w:eastAsia="Times New Roman" w:hAnsi="Times New Roman" w:cs="Times New Roman"/>
          <w:sz w:val="24"/>
          <w:szCs w:val="24"/>
          <w:lang w:eastAsia="bg-BG"/>
        </w:rPr>
        <w:t xml:space="preserve">общо </w:t>
      </w:r>
      <w:r w:rsidRPr="005D78C4">
        <w:rPr>
          <w:rFonts w:ascii="Times New Roman" w:eastAsia="Times New Roman" w:hAnsi="Times New Roman" w:cs="Times New Roman"/>
          <w:b/>
          <w:sz w:val="24"/>
          <w:szCs w:val="24"/>
          <w:lang w:eastAsia="bg-BG"/>
        </w:rPr>
        <w:t xml:space="preserve">1 </w:t>
      </w:r>
      <w:r w:rsidRPr="005D78C4">
        <w:rPr>
          <w:rFonts w:ascii="Times New Roman" w:eastAsia="Times New Roman" w:hAnsi="Times New Roman" w:cs="Times New Roman"/>
          <w:sz w:val="24"/>
          <w:szCs w:val="24"/>
          <w:lang w:eastAsia="bg-BG"/>
        </w:rPr>
        <w:t>решение</w:t>
      </w:r>
      <w:r w:rsidRPr="005D78C4">
        <w:rPr>
          <w:rFonts w:ascii="Times New Roman" w:eastAsia="Times New Roman" w:hAnsi="Times New Roman" w:cs="Times New Roman"/>
          <w:b/>
          <w:sz w:val="24"/>
          <w:szCs w:val="24"/>
          <w:lang w:eastAsia="bg-BG"/>
        </w:rPr>
        <w:t>;</w:t>
      </w:r>
    </w:p>
    <w:p w14:paraId="37817F49" w14:textId="77777777" w:rsidR="00D5673B" w:rsidRPr="005D78C4" w:rsidRDefault="00D5673B"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През първото полугодие на 2025 г. КЗК, в резултат на извършената оценка в рамките на </w:t>
      </w:r>
      <w:r w:rsidRPr="005D78C4">
        <w:rPr>
          <w:rFonts w:ascii="Times New Roman" w:eastAsia="Times New Roman" w:hAnsi="Times New Roman" w:cs="Times New Roman"/>
          <w:i/>
          <w:sz w:val="24"/>
          <w:szCs w:val="24"/>
          <w:lang w:eastAsia="bg-BG"/>
        </w:rPr>
        <w:t>ускорено проучване</w:t>
      </w:r>
      <w:r w:rsidRPr="005D78C4">
        <w:rPr>
          <w:rFonts w:ascii="Times New Roman" w:eastAsia="Times New Roman" w:hAnsi="Times New Roman" w:cs="Times New Roman"/>
          <w:sz w:val="24"/>
          <w:szCs w:val="24"/>
          <w:lang w:eastAsia="bg-BG"/>
        </w:rPr>
        <w:t xml:space="preserve"> по реда на чл.80 и чл. 81 от ЗЗК, постанови </w:t>
      </w:r>
      <w:r w:rsidRPr="005D78C4">
        <w:rPr>
          <w:rFonts w:ascii="Times New Roman" w:eastAsia="Times New Roman" w:hAnsi="Times New Roman" w:cs="Times New Roman"/>
          <w:b/>
          <w:sz w:val="24"/>
          <w:szCs w:val="24"/>
          <w:lang w:eastAsia="bg-BG"/>
        </w:rPr>
        <w:t>общо</w:t>
      </w:r>
      <w:r w:rsidRPr="005D78C4">
        <w:rPr>
          <w:rFonts w:ascii="Times New Roman" w:eastAsia="Times New Roman" w:hAnsi="Times New Roman" w:cs="Times New Roman"/>
          <w:sz w:val="24"/>
          <w:szCs w:val="24"/>
          <w:lang w:eastAsia="bg-BG"/>
        </w:rPr>
        <w:t xml:space="preserve"> </w:t>
      </w:r>
      <w:r w:rsidRPr="005D78C4">
        <w:rPr>
          <w:rFonts w:ascii="Times New Roman" w:eastAsia="Times New Roman" w:hAnsi="Times New Roman" w:cs="Times New Roman"/>
          <w:b/>
          <w:sz w:val="24"/>
          <w:szCs w:val="24"/>
          <w:lang w:eastAsia="bg-BG"/>
        </w:rPr>
        <w:t>11 (единадесет)</w:t>
      </w:r>
      <w:r w:rsidRPr="005D78C4">
        <w:rPr>
          <w:rFonts w:ascii="Times New Roman" w:eastAsia="Times New Roman" w:hAnsi="Times New Roman" w:cs="Times New Roman"/>
          <w:sz w:val="24"/>
          <w:szCs w:val="24"/>
          <w:lang w:eastAsia="bg-BG"/>
        </w:rPr>
        <w:t xml:space="preserve"> решения. След извършването на анализ на конкурентната среда на нотифицираните концентрации преди и след тяхното осъществяване, Комисията достига до извода, че същите не водят до съществено възпрепятстване на ефективната конкуренция на съответния пазар, особено в резултат на създаване или засилване на господстващо положение и безусловно ги разреши. </w:t>
      </w:r>
    </w:p>
    <w:p w14:paraId="532B5370" w14:textId="5A1FDEE8" w:rsidR="00441346" w:rsidRPr="005D78C4" w:rsidRDefault="00D5673B" w:rsidP="00DB66D9">
      <w:pPr>
        <w:spacing w:after="40" w:line="264" w:lineRule="auto"/>
        <w:ind w:firstLine="709"/>
        <w:contextualSpacing/>
        <w:jc w:val="both"/>
        <w:rPr>
          <w:rFonts w:ascii="Times New Roman" w:eastAsia="Calibri" w:hAnsi="Times New Roman" w:cs="Times New Roman"/>
          <w:bCs/>
          <w:sz w:val="24"/>
          <w:szCs w:val="24"/>
        </w:rPr>
      </w:pPr>
      <w:r w:rsidRPr="005D78C4">
        <w:rPr>
          <w:rFonts w:ascii="Times New Roman" w:hAnsi="Times New Roman" w:cs="Times New Roman"/>
          <w:sz w:val="24"/>
          <w:szCs w:val="24"/>
          <w:lang w:eastAsia="bg-BG"/>
        </w:rPr>
        <w:t xml:space="preserve">Комисията </w:t>
      </w:r>
      <w:r w:rsidRPr="005D78C4">
        <w:rPr>
          <w:rFonts w:ascii="Times New Roman" w:hAnsi="Times New Roman" w:cs="Times New Roman"/>
          <w:b/>
          <w:sz w:val="24"/>
          <w:szCs w:val="24"/>
          <w:lang w:eastAsia="bg-BG"/>
        </w:rPr>
        <w:t>постанови 1</w:t>
      </w:r>
      <w:r w:rsidRPr="005D78C4">
        <w:rPr>
          <w:rFonts w:ascii="Times New Roman" w:hAnsi="Times New Roman" w:cs="Times New Roman"/>
          <w:sz w:val="24"/>
          <w:szCs w:val="24"/>
          <w:lang w:eastAsia="bg-BG"/>
        </w:rPr>
        <w:t xml:space="preserve"> (</w:t>
      </w:r>
      <w:r w:rsidRPr="005D78C4">
        <w:rPr>
          <w:rFonts w:ascii="Times New Roman" w:hAnsi="Times New Roman" w:cs="Times New Roman"/>
          <w:b/>
          <w:sz w:val="24"/>
          <w:szCs w:val="24"/>
          <w:lang w:eastAsia="bg-BG"/>
        </w:rPr>
        <w:t>едно)</w:t>
      </w:r>
      <w:r w:rsidRPr="005D78C4">
        <w:rPr>
          <w:rFonts w:ascii="Times New Roman" w:hAnsi="Times New Roman" w:cs="Times New Roman"/>
          <w:sz w:val="24"/>
          <w:szCs w:val="24"/>
          <w:lang w:eastAsia="bg-BG"/>
        </w:rPr>
        <w:t xml:space="preserve"> решение</w:t>
      </w:r>
      <w:r w:rsidRPr="005D78C4">
        <w:rPr>
          <w:rStyle w:val="FootnoteReference"/>
          <w:rFonts w:ascii="Times New Roman" w:eastAsia="Times New Roman" w:hAnsi="Times New Roman" w:cs="Times New Roman"/>
          <w:sz w:val="24"/>
          <w:szCs w:val="24"/>
          <w:lang w:eastAsia="bg-BG"/>
        </w:rPr>
        <w:footnoteReference w:id="8"/>
      </w:r>
      <w:r w:rsidRPr="005D78C4">
        <w:rPr>
          <w:rFonts w:ascii="Times New Roman" w:hAnsi="Times New Roman" w:cs="Times New Roman"/>
          <w:sz w:val="24"/>
          <w:szCs w:val="24"/>
        </w:rPr>
        <w:t xml:space="preserve">, </w:t>
      </w:r>
      <w:r w:rsidRPr="005D78C4">
        <w:rPr>
          <w:rFonts w:ascii="Times New Roman" w:hAnsi="Times New Roman" w:cs="Times New Roman"/>
          <w:sz w:val="24"/>
          <w:szCs w:val="24"/>
          <w:lang w:eastAsia="bg-BG"/>
        </w:rPr>
        <w:t>с което установи, че нотифицираната концентрация, изразяваща се в намерението на „СОТ - СИГНАЛНО ОХРАНИТЕЛНА ТЕХНИКА“ ЕООД да придобие едноличен контрол върху "ЮА-СОД" ООД не попада в обхвата на чл. 24, ал. 1 от ЗЗК. Следователно за уведомителя не е възникнало задължение за предварително уведомяване. С</w:t>
      </w:r>
      <w:r w:rsidRPr="005D78C4">
        <w:rPr>
          <w:rFonts w:ascii="Times New Roman" w:eastAsia="Calibri" w:hAnsi="Times New Roman" w:cs="Times New Roman"/>
          <w:bCs/>
          <w:sz w:val="24"/>
          <w:szCs w:val="24"/>
          <w:lang w:val="en-US"/>
        </w:rPr>
        <w:t xml:space="preserve">ъгласно </w:t>
      </w:r>
      <w:r w:rsidRPr="005D78C4">
        <w:rPr>
          <w:rFonts w:ascii="Times New Roman" w:eastAsia="Calibri" w:hAnsi="Times New Roman" w:cs="Times New Roman"/>
          <w:bCs/>
          <w:sz w:val="24"/>
          <w:szCs w:val="24"/>
        </w:rPr>
        <w:t xml:space="preserve">трайната </w:t>
      </w:r>
      <w:r w:rsidRPr="005D78C4">
        <w:rPr>
          <w:rFonts w:ascii="Times New Roman" w:eastAsia="Calibri" w:hAnsi="Times New Roman" w:cs="Times New Roman"/>
          <w:bCs/>
          <w:sz w:val="24"/>
          <w:szCs w:val="24"/>
          <w:lang w:val="en-US"/>
        </w:rPr>
        <w:t>практика</w:t>
      </w:r>
      <w:r w:rsidRPr="005D78C4">
        <w:rPr>
          <w:rFonts w:ascii="Times New Roman" w:eastAsia="Calibri" w:hAnsi="Times New Roman" w:cs="Times New Roman"/>
          <w:bCs/>
          <w:sz w:val="24"/>
          <w:szCs w:val="24"/>
        </w:rPr>
        <w:t>,</w:t>
      </w:r>
      <w:r w:rsidRPr="005D78C4">
        <w:rPr>
          <w:rFonts w:ascii="Times New Roman" w:eastAsia="Calibri" w:hAnsi="Times New Roman" w:cs="Times New Roman"/>
          <w:bCs/>
          <w:sz w:val="24"/>
          <w:szCs w:val="24"/>
          <w:lang w:val="en-US"/>
        </w:rPr>
        <w:t xml:space="preserve"> в случаите когато сделката не </w:t>
      </w:r>
      <w:r w:rsidRPr="005D78C4">
        <w:rPr>
          <w:rFonts w:ascii="Times New Roman" w:eastAsia="Calibri" w:hAnsi="Times New Roman" w:cs="Times New Roman"/>
          <w:bCs/>
          <w:sz w:val="24"/>
          <w:szCs w:val="24"/>
        </w:rPr>
        <w:t xml:space="preserve">покрива праговете за оборот по </w:t>
      </w:r>
      <w:r w:rsidRPr="005D78C4">
        <w:rPr>
          <w:rFonts w:ascii="Times New Roman" w:eastAsia="Calibri" w:hAnsi="Times New Roman" w:cs="Times New Roman"/>
          <w:bCs/>
          <w:sz w:val="24"/>
          <w:szCs w:val="24"/>
          <w:lang w:val="en-US"/>
        </w:rPr>
        <w:t xml:space="preserve">чл. 24, ал. 1 от ЗЗК, </w:t>
      </w:r>
      <w:r w:rsidRPr="005D78C4">
        <w:rPr>
          <w:rFonts w:ascii="Times New Roman" w:eastAsia="Calibri" w:hAnsi="Times New Roman" w:cs="Times New Roman"/>
          <w:bCs/>
          <w:sz w:val="24"/>
          <w:szCs w:val="24"/>
        </w:rPr>
        <w:t xml:space="preserve">Комисията </w:t>
      </w:r>
      <w:r w:rsidRPr="005D78C4">
        <w:rPr>
          <w:rFonts w:ascii="Times New Roman" w:eastAsia="Calibri" w:hAnsi="Times New Roman" w:cs="Times New Roman"/>
          <w:bCs/>
          <w:sz w:val="24"/>
          <w:szCs w:val="24"/>
          <w:lang w:val="en-US"/>
        </w:rPr>
        <w:t>не извърш</w:t>
      </w:r>
      <w:r w:rsidRPr="005D78C4">
        <w:rPr>
          <w:rFonts w:ascii="Times New Roman" w:eastAsia="Calibri" w:hAnsi="Times New Roman" w:cs="Times New Roman"/>
          <w:bCs/>
          <w:sz w:val="24"/>
          <w:szCs w:val="24"/>
        </w:rPr>
        <w:t>ва</w:t>
      </w:r>
      <w:r w:rsidRPr="005D78C4">
        <w:rPr>
          <w:rFonts w:ascii="Times New Roman" w:eastAsia="Calibri" w:hAnsi="Times New Roman" w:cs="Times New Roman"/>
          <w:bCs/>
          <w:sz w:val="24"/>
          <w:szCs w:val="24"/>
          <w:lang w:val="en-US"/>
        </w:rPr>
        <w:t xml:space="preserve"> пазарен анализ</w:t>
      </w:r>
      <w:r w:rsidRPr="005D78C4">
        <w:rPr>
          <w:rFonts w:ascii="Times New Roman" w:eastAsia="Calibri" w:hAnsi="Times New Roman" w:cs="Times New Roman"/>
          <w:bCs/>
          <w:sz w:val="24"/>
          <w:szCs w:val="24"/>
        </w:rPr>
        <w:t>, респ. не изследва</w:t>
      </w:r>
      <w:r w:rsidRPr="005D78C4">
        <w:rPr>
          <w:rFonts w:ascii="Times New Roman" w:eastAsia="Calibri" w:hAnsi="Times New Roman" w:cs="Times New Roman"/>
          <w:bCs/>
          <w:sz w:val="24"/>
          <w:szCs w:val="24"/>
          <w:lang w:val="en-US"/>
        </w:rPr>
        <w:t xml:space="preserve"> очакваните ефекти върху конкурентната среда след </w:t>
      </w:r>
      <w:r w:rsidRPr="005D78C4">
        <w:rPr>
          <w:rFonts w:ascii="Times New Roman" w:eastAsia="Calibri" w:hAnsi="Times New Roman" w:cs="Times New Roman"/>
          <w:bCs/>
          <w:sz w:val="24"/>
          <w:szCs w:val="24"/>
        </w:rPr>
        <w:t xml:space="preserve">нейното </w:t>
      </w:r>
      <w:r w:rsidRPr="005D78C4">
        <w:rPr>
          <w:rFonts w:ascii="Times New Roman" w:eastAsia="Calibri" w:hAnsi="Times New Roman" w:cs="Times New Roman"/>
          <w:bCs/>
          <w:sz w:val="24"/>
          <w:szCs w:val="24"/>
          <w:lang w:val="en-US"/>
        </w:rPr>
        <w:t>осъществяване.</w:t>
      </w:r>
      <w:r w:rsidRPr="005D78C4">
        <w:rPr>
          <w:rFonts w:ascii="Times New Roman" w:eastAsia="Calibri" w:hAnsi="Times New Roman" w:cs="Times New Roman"/>
          <w:bCs/>
          <w:sz w:val="24"/>
          <w:szCs w:val="24"/>
        </w:rPr>
        <w:t xml:space="preserve"> </w:t>
      </w:r>
    </w:p>
    <w:p w14:paraId="601F098B" w14:textId="3364155C" w:rsidR="00441346" w:rsidRPr="005D78C4" w:rsidRDefault="00441346" w:rsidP="00DB66D9">
      <w:pPr>
        <w:pStyle w:val="ListParagraph"/>
        <w:numPr>
          <w:ilvl w:val="0"/>
          <w:numId w:val="16"/>
        </w:numPr>
        <w:spacing w:after="40" w:line="264" w:lineRule="auto"/>
        <w:jc w:val="both"/>
        <w:rPr>
          <w:rFonts w:ascii="Times New Roman" w:eastAsia="Times New Roman" w:hAnsi="Times New Roman" w:cs="Times New Roman"/>
          <w:lang w:eastAsia="bg-BG"/>
        </w:rPr>
      </w:pPr>
      <w:r w:rsidRPr="005D78C4">
        <w:rPr>
          <w:rFonts w:ascii="Times New Roman" w:eastAsia="Times New Roman" w:hAnsi="Times New Roman" w:cs="Times New Roman"/>
          <w:b/>
          <w:lang w:eastAsia="bg-BG"/>
        </w:rPr>
        <w:t>Санкции</w:t>
      </w:r>
    </w:p>
    <w:p w14:paraId="2CA5E00C" w14:textId="77777777" w:rsidR="00D5673B" w:rsidRPr="005D78C4" w:rsidRDefault="00D5673B" w:rsidP="00DB66D9">
      <w:pPr>
        <w:spacing w:after="40" w:line="264" w:lineRule="auto"/>
        <w:ind w:firstLine="708"/>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През първото полугодие на 2025 г. КЗК не е наложила имуществени санкции по реда на чл.100 от ЗЗК или глоби съгласно чл.102 от ЗЗК за извършени нарушения по глава Пета от ЗЗК.</w:t>
      </w:r>
    </w:p>
    <w:p w14:paraId="227A3CD8" w14:textId="5B2AE6FB" w:rsidR="00D5673B" w:rsidRPr="005D78C4" w:rsidRDefault="00D5673B" w:rsidP="00DB66D9">
      <w:pPr>
        <w:pStyle w:val="ListParagraph"/>
        <w:numPr>
          <w:ilvl w:val="0"/>
          <w:numId w:val="16"/>
        </w:numPr>
        <w:autoSpaceDE w:val="0"/>
        <w:autoSpaceDN w:val="0"/>
        <w:spacing w:after="40" w:line="264" w:lineRule="auto"/>
        <w:jc w:val="both"/>
        <w:rPr>
          <w:rFonts w:ascii="Times New Roman" w:eastAsia="Times New Roman" w:hAnsi="Times New Roman" w:cs="Times New Roman"/>
          <w:lang w:eastAsia="bg-BG"/>
        </w:rPr>
      </w:pPr>
      <w:r w:rsidRPr="005D78C4">
        <w:rPr>
          <w:rFonts w:ascii="Times New Roman" w:eastAsia="Times New Roman" w:hAnsi="Times New Roman" w:cs="Times New Roman"/>
          <w:b/>
          <w:lang w:eastAsia="bg-BG"/>
        </w:rPr>
        <w:t>Икономически сектори, в които са осъществени концентрации на националния пазар през първото полугодие на 2025 г.</w:t>
      </w:r>
      <w:r w:rsidRPr="005D78C4">
        <w:rPr>
          <w:rFonts w:ascii="Times New Roman" w:eastAsia="Calibri" w:hAnsi="Times New Roman" w:cs="Times New Roman"/>
          <w:vertAlign w:val="superscript"/>
          <w:lang w:eastAsia="bg-BG"/>
        </w:rPr>
        <w:t xml:space="preserve">. </w:t>
      </w:r>
      <w:r w:rsidRPr="005D78C4">
        <w:rPr>
          <w:rFonts w:eastAsia="Calibri"/>
          <w:vertAlign w:val="superscript"/>
          <w:lang w:eastAsia="bg-BG"/>
        </w:rPr>
        <w:footnoteReference w:id="9"/>
      </w:r>
      <w:r w:rsidRPr="005D78C4">
        <w:rPr>
          <w:rFonts w:ascii="Times New Roman" w:eastAsia="Times New Roman" w:hAnsi="Times New Roman" w:cs="Times New Roman"/>
          <w:lang w:eastAsia="bg-BG"/>
        </w:rPr>
        <w:t xml:space="preserve"> </w:t>
      </w:r>
    </w:p>
    <w:p w14:paraId="79D44C4F" w14:textId="217165DC" w:rsidR="00441346" w:rsidRPr="005D78C4" w:rsidRDefault="00D5673B" w:rsidP="00DB66D9">
      <w:pPr>
        <w:spacing w:after="40" w:line="264" w:lineRule="auto"/>
        <w:ind w:firstLine="708"/>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През първото полугодие на 2025 г. Комисията извърши оценка и постанови решения за разрешаване на концентрации между предприятия в следните икономически сектори/пазари: енергетика (3 решения); внос и продажба на автомобили, резервни части и аксесоари за тях (2 решения); телекомуникации - придобиване на активи на пасивна наземна инфраструктура (1 решение); застраховане (1 решение); горива и природен газ  (1 решение); електронна оценка на клинични резултати (1 решение); болнични услуги (1 решение) и продажба на дървесен материал, плоскости от дървесина и пелети (1 решение).</w:t>
      </w:r>
    </w:p>
    <w:p w14:paraId="1CCA4861" w14:textId="20EC3D0C" w:rsidR="002052FC" w:rsidRPr="005D78C4" w:rsidRDefault="002052FC" w:rsidP="00DB66D9">
      <w:pPr>
        <w:pStyle w:val="ListParagraph"/>
        <w:numPr>
          <w:ilvl w:val="0"/>
          <w:numId w:val="16"/>
        </w:numPr>
        <w:spacing w:after="40" w:line="264" w:lineRule="auto"/>
        <w:contextualSpacing/>
        <w:jc w:val="both"/>
        <w:rPr>
          <w:rFonts w:ascii="Times New Roman" w:eastAsia="Times New Roman" w:hAnsi="Times New Roman" w:cs="Times New Roman"/>
          <w:b/>
          <w:lang w:eastAsia="bg-BG"/>
        </w:rPr>
      </w:pPr>
      <w:r w:rsidRPr="005D78C4">
        <w:rPr>
          <w:rFonts w:ascii="Times New Roman" w:eastAsia="Times New Roman" w:hAnsi="Times New Roman" w:cs="Times New Roman"/>
          <w:b/>
          <w:lang w:eastAsia="bg-BG"/>
        </w:rPr>
        <w:t>Дейност по прилагане на Регламент № 139/2004 г. на Съвета относно контрола върху концентрациите между предприятия</w:t>
      </w:r>
    </w:p>
    <w:p w14:paraId="719412ED" w14:textId="77777777" w:rsidR="00D5673B" w:rsidRPr="005D78C4" w:rsidRDefault="00D5673B" w:rsidP="00DB66D9">
      <w:pPr>
        <w:spacing w:after="40" w:line="264" w:lineRule="auto"/>
        <w:ind w:firstLine="708"/>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КЗК е компетентна да осъществява контрол върху концентрациите с национално измерение, а тези които достигат праговете по чл.1 от Регламент № 139/2004 г. на Съвета относно контрола върху концентрациите между предприятия (Регламент за сливанията) попадат под изключителната юрисдикция на ЕК. В същото време Регламентът предоставя възможност за промяна на оригиналната юрисдикция с оглед концентрацията да бъде оценена от най-подходящия орган по конкуренция (ЕК или национален орган по конкуренция). Правните изисквания и сроковете за пренасочване на концентрациите от или към ЕК са разписани подробно в Насоките на ЕК относно препращане на преписки за концентрации (Насоките). </w:t>
      </w:r>
    </w:p>
    <w:p w14:paraId="58A71139" w14:textId="77777777" w:rsidR="00D5673B" w:rsidRPr="005D78C4" w:rsidRDefault="00D5673B"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lastRenderedPageBreak/>
        <w:t xml:space="preserve">В тази връзка и съгласно Регламента за сливанията, националните органи по конкуренция (НОК) на държавите-членки може да инициират препращане на случаи на концентрации от или към ЕК след анализ на качената в Европейската мрежа по конкуренция (ЕМК) информация и документи по съответния случай. </w:t>
      </w:r>
    </w:p>
    <w:p w14:paraId="1C4CA3AE" w14:textId="77777777" w:rsidR="00D5673B" w:rsidRPr="005D78C4" w:rsidRDefault="00D5673B"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За отчетния период КЗК извърши анализ на информацията, съдържаща се в </w:t>
      </w:r>
      <w:r w:rsidRPr="005D78C4">
        <w:rPr>
          <w:rFonts w:ascii="Times New Roman" w:eastAsia="Times New Roman" w:hAnsi="Times New Roman" w:cs="Times New Roman"/>
          <w:b/>
          <w:sz w:val="24"/>
          <w:szCs w:val="24"/>
          <w:lang w:eastAsia="bg-BG"/>
        </w:rPr>
        <w:t>общо 193</w:t>
      </w:r>
      <w:r w:rsidRPr="005D78C4">
        <w:rPr>
          <w:rFonts w:ascii="Times New Roman" w:eastAsia="Times New Roman" w:hAnsi="Times New Roman" w:cs="Times New Roman"/>
          <w:sz w:val="24"/>
          <w:szCs w:val="24"/>
          <w:lang w:val="en-US" w:eastAsia="bg-BG"/>
        </w:rPr>
        <w:t xml:space="preserve"> </w:t>
      </w:r>
      <w:r w:rsidRPr="005D78C4">
        <w:rPr>
          <w:rFonts w:ascii="Times New Roman" w:eastAsia="Times New Roman" w:hAnsi="Times New Roman" w:cs="Times New Roman"/>
          <w:sz w:val="24"/>
          <w:szCs w:val="24"/>
          <w:lang w:eastAsia="bg-BG"/>
        </w:rPr>
        <w:t xml:space="preserve">постъпили по горепосочения ред уведомления и мотивирани искания за концентрации между предприятия, чийто срок за изразяване на становище е за периода 01.01.25 г. - 30.06.25 г., с оглед преценка за евентуално прилагане на процедурата по препращане от/към ЕК в съответствие с Регламента за сливанията и Насоките. </w:t>
      </w:r>
    </w:p>
    <w:p w14:paraId="43301A3C" w14:textId="77777777" w:rsidR="00D5673B" w:rsidRPr="005D78C4" w:rsidRDefault="00D5673B" w:rsidP="00DB66D9">
      <w:pPr>
        <w:spacing w:after="40" w:line="264" w:lineRule="auto"/>
        <w:ind w:firstLine="709"/>
        <w:jc w:val="both"/>
        <w:rPr>
          <w:rFonts w:ascii="Times New Roman" w:eastAsia="Times New Roman" w:hAnsi="Times New Roman" w:cs="Times New Roman"/>
          <w:sz w:val="24"/>
          <w:szCs w:val="24"/>
          <w:lang w:val="en-US" w:eastAsia="bg-BG"/>
        </w:rPr>
      </w:pPr>
      <w:r w:rsidRPr="005D78C4">
        <w:rPr>
          <w:rFonts w:ascii="Times New Roman" w:eastAsia="Times New Roman" w:hAnsi="Times New Roman" w:cs="Times New Roman"/>
          <w:sz w:val="24"/>
          <w:szCs w:val="24"/>
          <w:lang w:eastAsia="bg-BG"/>
        </w:rPr>
        <w:t>За периода 01.01.25 г</w:t>
      </w:r>
      <w:r w:rsidRPr="005D78C4">
        <w:rPr>
          <w:rFonts w:ascii="Times New Roman" w:eastAsia="Times New Roman" w:hAnsi="Times New Roman" w:cs="Times New Roman"/>
          <w:sz w:val="24"/>
          <w:szCs w:val="24"/>
          <w:lang w:val="en-US" w:eastAsia="bg-BG"/>
        </w:rPr>
        <w:t>.</w:t>
      </w:r>
      <w:r w:rsidRPr="005D78C4">
        <w:rPr>
          <w:rFonts w:ascii="Times New Roman" w:eastAsia="Times New Roman" w:hAnsi="Times New Roman" w:cs="Times New Roman"/>
          <w:sz w:val="24"/>
          <w:szCs w:val="24"/>
          <w:lang w:eastAsia="bg-BG"/>
        </w:rPr>
        <w:t xml:space="preserve"> - 30.06.25 г. КЗК не упражни правомощията си за отправяне на искане за препращане на случаи по концентрации с общностно измерение от ЕК към КЗК, тъй като не са изпълнени кумулативните правни изисквания по чл. 9, ал. 2 от Регламента за сливанията. </w:t>
      </w:r>
    </w:p>
    <w:p w14:paraId="276B4957" w14:textId="77777777" w:rsidR="00D5673B" w:rsidRPr="005D78C4" w:rsidRDefault="00D5673B"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За първото полугодие на 2025 г. КЗК не е имала основание да изрази позиция по постъпилите в ЕК мотивирани искания по реда на чл. 4, ал. 4, нито по реда на чл. 4, ал. 5 от Регламента за сливанията.</w:t>
      </w:r>
    </w:p>
    <w:p w14:paraId="59E94467" w14:textId="77777777" w:rsidR="00D5673B" w:rsidRPr="005D78C4" w:rsidRDefault="00D5673B" w:rsidP="00DB66D9">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За отчетния период КЗК не е инициирала и/или се е присъединила към инициирано препращане по реда на чл. 22 от Регламента за сливанията.</w:t>
      </w:r>
    </w:p>
    <w:p w14:paraId="285D4909" w14:textId="42D300A2" w:rsidR="00C527F5" w:rsidRPr="005D78C4" w:rsidRDefault="00C527F5" w:rsidP="00DB66D9">
      <w:pPr>
        <w:pStyle w:val="ListParagraph"/>
        <w:numPr>
          <w:ilvl w:val="0"/>
          <w:numId w:val="16"/>
        </w:numPr>
        <w:spacing w:after="40" w:line="264" w:lineRule="auto"/>
        <w:jc w:val="both"/>
        <w:rPr>
          <w:rFonts w:ascii="Times New Roman" w:hAnsi="Times New Roman" w:cs="Times New Roman"/>
          <w:b/>
        </w:rPr>
      </w:pPr>
      <w:r w:rsidRPr="005D78C4">
        <w:rPr>
          <w:rFonts w:ascii="Times New Roman" w:hAnsi="Times New Roman" w:cs="Times New Roman"/>
          <w:b/>
        </w:rPr>
        <w:t>Участие в работни срещи в рамките на европейската и на международната мрежи по конкуренция</w:t>
      </w:r>
    </w:p>
    <w:p w14:paraId="2A9DA6B0" w14:textId="77777777" w:rsidR="00D5673B" w:rsidRPr="005D78C4" w:rsidRDefault="00D5673B"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hAnsi="Times New Roman" w:cs="Times New Roman"/>
          <w:sz w:val="24"/>
          <w:szCs w:val="24"/>
        </w:rPr>
        <w:t xml:space="preserve">Голяма част от дейността на експертите в отдела бе свързана и с </w:t>
      </w:r>
      <w:r w:rsidRPr="005D78C4">
        <w:rPr>
          <w:rFonts w:ascii="Times New Roman" w:eastAsia="Times New Roman" w:hAnsi="Times New Roman" w:cs="Times New Roman"/>
          <w:sz w:val="24"/>
          <w:szCs w:val="24"/>
          <w:lang w:eastAsia="bg-BG"/>
        </w:rPr>
        <w:t xml:space="preserve">участието в проведени две работни срещи на РГ „Сливания“ и една работна среща на РГ „Храни“ (онлайн участие) към Европейската мрежа по конкуренция (ЕМК). За отчетния период отделът беше ангажиран и с попълването на качени в ЕМК въпросници на национални органи по конкуренция на държавите-членки. </w:t>
      </w:r>
    </w:p>
    <w:p w14:paraId="7D10806E" w14:textId="77777777" w:rsidR="00D5673B" w:rsidRPr="005D78C4" w:rsidRDefault="00D5673B" w:rsidP="00DB66D9">
      <w:pPr>
        <w:pStyle w:val="NoSpacing"/>
        <w:spacing w:after="40" w:line="264" w:lineRule="auto"/>
        <w:ind w:firstLine="708"/>
        <w:jc w:val="both"/>
        <w:rPr>
          <w:rFonts w:ascii="Times New Roman" w:hAnsi="Times New Roman" w:cs="Times New Roman"/>
          <w:sz w:val="24"/>
          <w:szCs w:val="24"/>
        </w:rPr>
      </w:pPr>
      <w:r w:rsidRPr="005D78C4">
        <w:rPr>
          <w:rFonts w:ascii="Times New Roman" w:hAnsi="Times New Roman" w:cs="Times New Roman"/>
          <w:sz w:val="24"/>
          <w:szCs w:val="24"/>
        </w:rPr>
        <w:t>На 08.05.2025 г. стартира обществено обсъждане, като първа стъпка от процеса, свързан с преразглеждане на Насоките за хоризонталните сливания и на Насоките за нехоризонтални сливания (Насоките), издадени от Европейската комисия. По този повод  бяха изготвени и качени два въпросника (общ и по-детайлен) на сайта на ЕК. Целта на тези въпросници е получаване на коментари и предложения за допълване и изменение на сега действащите Насоки, с оглед отразяване динамиката, пазарните тенденции и геополитическо развитие, оказващи въздействие върху функционирането на Европейския общностен пазар. Срокът за изпращане на отговорите е 03.09.2025 г. </w:t>
      </w:r>
    </w:p>
    <w:p w14:paraId="7D1BFBA3" w14:textId="77777777" w:rsidR="00D5673B" w:rsidRPr="005D78C4" w:rsidRDefault="00D5673B" w:rsidP="0026348A">
      <w:pPr>
        <w:pStyle w:val="NoSpacing"/>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 xml:space="preserve">В тази връзка през отчетния период експертите от отдела започнаха работа по изготвянето на отговори по двата въпросника, като процесът е свързан с отделянето на сериозен времеви и експертен ресурс.  </w:t>
      </w:r>
    </w:p>
    <w:p w14:paraId="0161BFEC" w14:textId="4E49C48F" w:rsidR="00C527F5" w:rsidRPr="005D78C4" w:rsidRDefault="00C527F5" w:rsidP="00DB66D9">
      <w:pPr>
        <w:pStyle w:val="ListParagraph"/>
        <w:numPr>
          <w:ilvl w:val="0"/>
          <w:numId w:val="16"/>
        </w:numPr>
        <w:spacing w:after="40" w:line="264" w:lineRule="auto"/>
        <w:jc w:val="both"/>
        <w:rPr>
          <w:rFonts w:ascii="Times New Roman" w:eastAsia="Times New Roman" w:hAnsi="Times New Roman" w:cs="Times New Roman"/>
          <w:b/>
          <w:lang w:eastAsia="bg-BG"/>
        </w:rPr>
      </w:pPr>
      <w:r w:rsidRPr="005D78C4">
        <w:rPr>
          <w:rFonts w:ascii="Times New Roman" w:eastAsia="Times New Roman" w:hAnsi="Times New Roman" w:cs="Times New Roman"/>
          <w:b/>
          <w:lang w:eastAsia="bg-BG"/>
        </w:rPr>
        <w:t>Други дейности</w:t>
      </w:r>
    </w:p>
    <w:p w14:paraId="2EABABA5" w14:textId="77777777" w:rsidR="00441346" w:rsidRPr="005D78C4" w:rsidRDefault="00441346" w:rsidP="00DB66D9">
      <w:pPr>
        <w:spacing w:after="40" w:line="264" w:lineRule="auto"/>
        <w:ind w:firstLine="709"/>
        <w:jc w:val="both"/>
        <w:rPr>
          <w:rFonts w:ascii="Times New Roman" w:eastAsia="Times New Roman" w:hAnsi="Times New Roman" w:cs="Times New Roman"/>
          <w:i/>
          <w:sz w:val="24"/>
          <w:szCs w:val="24"/>
          <w:lang w:eastAsia="bg-BG"/>
        </w:rPr>
      </w:pPr>
      <w:r w:rsidRPr="005D78C4">
        <w:rPr>
          <w:rFonts w:ascii="Times New Roman" w:eastAsia="Times New Roman" w:hAnsi="Times New Roman" w:cs="Times New Roman"/>
          <w:i/>
          <w:sz w:val="24"/>
          <w:szCs w:val="24"/>
          <w:lang w:eastAsia="bg-BG"/>
        </w:rPr>
        <w:t>Мониторинг на публикации за сделки</w:t>
      </w:r>
    </w:p>
    <w:p w14:paraId="4B71C9B5" w14:textId="77777777" w:rsidR="00D5673B" w:rsidRPr="005D78C4" w:rsidRDefault="00D5673B"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В рамките на отчетния период КЗК продължи да следи за публикации в медиите и други източници на информация относно предстоящи и осъществени сделки, с оглед преценката за наличие или липса на достатъчно основания за образуване на производство за евентуално извършено нарушение по ЗЗК – неизпълнение на задължение за предварително уведомяване по смисъла на чл. 24, ал. 1 от ЗЗК. </w:t>
      </w:r>
    </w:p>
    <w:p w14:paraId="675406AF" w14:textId="5ADE84B3" w:rsidR="00D5673B" w:rsidRPr="005D78C4" w:rsidRDefault="00D5673B" w:rsidP="00DB66D9">
      <w:pPr>
        <w:spacing w:after="40" w:line="264" w:lineRule="auto"/>
        <w:ind w:firstLine="709"/>
        <w:jc w:val="both"/>
        <w:rPr>
          <w:rFonts w:ascii="Times New Roman" w:eastAsia="Times New Roman" w:hAnsi="Times New Roman" w:cs="Times New Roman"/>
          <w:i/>
          <w:sz w:val="24"/>
          <w:szCs w:val="24"/>
          <w:lang w:eastAsia="bg-BG"/>
        </w:rPr>
      </w:pPr>
      <w:r w:rsidRPr="005D78C4">
        <w:rPr>
          <w:rFonts w:ascii="Times New Roman" w:eastAsia="Times New Roman" w:hAnsi="Times New Roman" w:cs="Times New Roman"/>
          <w:i/>
          <w:sz w:val="24"/>
          <w:szCs w:val="24"/>
          <w:lang w:eastAsia="bg-BG"/>
        </w:rPr>
        <w:t>Преднотификационни консултации и отговори по запитвания</w:t>
      </w:r>
    </w:p>
    <w:p w14:paraId="1D9150ED" w14:textId="77777777" w:rsidR="00D5673B" w:rsidRPr="005D78C4" w:rsidRDefault="00D5673B"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lastRenderedPageBreak/>
        <w:t xml:space="preserve">В края на отчетния период в КЗК постъпиха общо </w:t>
      </w:r>
      <w:r w:rsidRPr="005D78C4">
        <w:rPr>
          <w:rFonts w:ascii="Times New Roman" w:eastAsia="Times New Roman" w:hAnsi="Times New Roman" w:cs="Times New Roman"/>
          <w:b/>
          <w:sz w:val="24"/>
          <w:szCs w:val="24"/>
          <w:lang w:eastAsia="bg-BG"/>
        </w:rPr>
        <w:t>5 (пет)</w:t>
      </w:r>
      <w:r w:rsidRPr="005D78C4">
        <w:rPr>
          <w:rFonts w:ascii="Times New Roman" w:eastAsia="Times New Roman" w:hAnsi="Times New Roman" w:cs="Times New Roman"/>
          <w:sz w:val="24"/>
          <w:szCs w:val="24"/>
          <w:lang w:eastAsia="bg-BG"/>
        </w:rPr>
        <w:t xml:space="preserve"> молби за провеждане на предварителна консултация, с оглед преценка за подаване на уведомление и попълването му в съответствие с изискванията на чл.79, ал.1 ЗЗК и приетия в края на 2019 г. Образец на уведомление и указания за попълване (с Решение № 1384/19.12.19 г., изм. и доп. с Р. № 603/10.06.2021 г.). </w:t>
      </w:r>
    </w:p>
    <w:p w14:paraId="6ADA5668" w14:textId="77777777" w:rsidR="00D5673B" w:rsidRPr="005D78C4" w:rsidRDefault="00D5673B" w:rsidP="00DB66D9">
      <w:pPr>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Голяма част от подадените през първото полугодие на 2025 г. уведомления не съдържаха в цялост информацията и документите, посочени в Образеца на уведомление, което доведе до изготвянето на писма за отстраняване на нередовностите съгласно чл. 38, ал. 2 от ЗЗК. </w:t>
      </w:r>
    </w:p>
    <w:p w14:paraId="5531CA77" w14:textId="75F621FD" w:rsidR="00D5673B" w:rsidRPr="005D78C4" w:rsidRDefault="00D5673B" w:rsidP="00DB66D9">
      <w:pPr>
        <w:pStyle w:val="ListParagraph"/>
        <w:spacing w:after="40" w:line="264" w:lineRule="auto"/>
        <w:ind w:left="0" w:firstLine="709"/>
        <w:jc w:val="both"/>
        <w:rPr>
          <w:rFonts w:ascii="Times New Roman" w:hAnsi="Times New Roman" w:cs="Times New Roman"/>
        </w:rPr>
      </w:pPr>
      <w:r w:rsidRPr="005D78C4">
        <w:rPr>
          <w:rFonts w:ascii="Times New Roman" w:hAnsi="Times New Roman" w:cs="Times New Roman"/>
        </w:rPr>
        <w:t>За отчетния период бяха изготвени и отговори по постъпили запитвания относно осъществявания от КЗК контрол върху концентрациите между предприятия и постановени от нея решения, както и изготвени бележки и коментари по законовите разпоредби и правила в областта на концентрациите.</w:t>
      </w:r>
    </w:p>
    <w:p w14:paraId="7E82E0F7" w14:textId="77777777" w:rsidR="000058C3" w:rsidRPr="005D78C4" w:rsidRDefault="000058C3" w:rsidP="00DB66D9">
      <w:pPr>
        <w:pStyle w:val="ListParagraph"/>
        <w:spacing w:after="40" w:line="264" w:lineRule="auto"/>
        <w:ind w:left="0" w:firstLine="709"/>
        <w:jc w:val="both"/>
        <w:rPr>
          <w:rFonts w:ascii="Times New Roman" w:hAnsi="Times New Roman" w:cs="Times New Roman"/>
        </w:rPr>
      </w:pPr>
    </w:p>
    <w:p w14:paraId="7B70B8B1" w14:textId="270484B9" w:rsidR="004B29E2" w:rsidRPr="005D78C4" w:rsidRDefault="004B29E2" w:rsidP="00DB66D9">
      <w:pPr>
        <w:pStyle w:val="ListParagraph"/>
        <w:numPr>
          <w:ilvl w:val="0"/>
          <w:numId w:val="15"/>
        </w:numPr>
        <w:spacing w:after="40" w:line="264" w:lineRule="auto"/>
        <w:ind w:hanging="11"/>
        <w:jc w:val="both"/>
        <w:rPr>
          <w:rFonts w:ascii="Times New Roman" w:eastAsia="Times New Roman" w:hAnsi="Times New Roman" w:cs="Times New Roman"/>
          <w:b/>
          <w:lang w:val="en-US" w:eastAsia="bg-BG"/>
        </w:rPr>
      </w:pPr>
      <w:r w:rsidRPr="005D78C4">
        <w:rPr>
          <w:rFonts w:ascii="Times New Roman" w:eastAsia="Times New Roman" w:hAnsi="Times New Roman" w:cs="Times New Roman"/>
          <w:b/>
          <w:lang w:eastAsia="bg-BG"/>
        </w:rPr>
        <w:t xml:space="preserve">Секторни анализи </w:t>
      </w:r>
    </w:p>
    <w:p w14:paraId="540C455B" w14:textId="22FD4F2F" w:rsidR="00F94B3A" w:rsidRPr="005D78C4" w:rsidRDefault="00F94B3A" w:rsidP="00F94B3A">
      <w:pPr>
        <w:pStyle w:val="ListParagraph"/>
        <w:spacing w:after="40" w:line="264" w:lineRule="auto"/>
        <w:ind w:left="0" w:firstLine="709"/>
        <w:jc w:val="both"/>
        <w:rPr>
          <w:rFonts w:ascii="Times New Roman" w:hAnsi="Times New Roman" w:cs="Times New Roman"/>
        </w:rPr>
      </w:pPr>
      <w:r w:rsidRPr="005D78C4">
        <w:rPr>
          <w:rFonts w:ascii="Times New Roman" w:hAnsi="Times New Roman" w:cs="Times New Roman"/>
        </w:rPr>
        <w:t>Настоящият състав на КЗК си постави за приоритет през 2025 г. да предприеме бързи и специфични секторни проучвания в обществено значими сектори на икономиката. Чрез тези секторни анализи Комисията ще установи при какви условия и пазарна среда дружествата се конкурират и предлагат своите продукти и услуги. Секторните анализи ще откроят пълната картина на проучваните сектори и ще позволят да се направи извод какви са проблемите на тях като бъдат предприети последващи действия за тяхното разрешаване.</w:t>
      </w:r>
      <w:r w:rsidR="00165C0D" w:rsidRPr="005D78C4">
        <w:rPr>
          <w:rFonts w:ascii="Times New Roman" w:hAnsi="Times New Roman" w:cs="Times New Roman"/>
        </w:rPr>
        <w:t xml:space="preserve"> За сравнение през цялата 2024 г. не е образувано нито едно производство по провеждане на секторен анализ, а само в рамките на м. 06. 2025 г. са образувани две мащабни по обем и социална значимост производства.</w:t>
      </w:r>
    </w:p>
    <w:p w14:paraId="28A27A3A" w14:textId="420850B0" w:rsidR="00815C3A" w:rsidRPr="005D78C4" w:rsidRDefault="00815C3A" w:rsidP="00DB66D9">
      <w:pPr>
        <w:pStyle w:val="ListParagraph"/>
        <w:spacing w:after="40" w:line="264" w:lineRule="auto"/>
        <w:ind w:left="720"/>
        <w:jc w:val="both"/>
        <w:rPr>
          <w:rFonts w:ascii="Times New Roman" w:hAnsi="Times New Roman" w:cs="Times New Roman"/>
          <w:b/>
          <w:i/>
        </w:rPr>
      </w:pPr>
      <w:r w:rsidRPr="005D78C4">
        <w:rPr>
          <w:rFonts w:ascii="Times New Roman" w:hAnsi="Times New Roman" w:cs="Times New Roman"/>
          <w:b/>
          <w:i/>
        </w:rPr>
        <w:t>Сектор Храни</w:t>
      </w:r>
    </w:p>
    <w:p w14:paraId="7C37C8C0" w14:textId="77777777" w:rsidR="00815C3A" w:rsidRPr="005D78C4" w:rsidRDefault="00815C3A" w:rsidP="00DB66D9">
      <w:pPr>
        <w:shd w:val="clear" w:color="auto" w:fill="FFFFFF"/>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b/>
          <w:sz w:val="24"/>
          <w:szCs w:val="24"/>
          <w:lang w:eastAsia="bg-BG"/>
        </w:rPr>
        <w:t>С решение №</w:t>
      </w:r>
      <w:r w:rsidRPr="005D78C4">
        <w:rPr>
          <w:rFonts w:ascii="Times New Roman" w:eastAsia="Times New Roman" w:hAnsi="Times New Roman" w:cs="Times New Roman"/>
          <w:sz w:val="24"/>
          <w:szCs w:val="24"/>
          <w:lang w:eastAsia="bg-BG"/>
        </w:rPr>
        <w:t xml:space="preserve"> </w:t>
      </w:r>
      <w:r w:rsidRPr="005D78C4">
        <w:rPr>
          <w:rFonts w:ascii="Times New Roman" w:hAnsi="Times New Roman" w:cs="Times New Roman"/>
          <w:b/>
          <w:bCs/>
          <w:sz w:val="24"/>
          <w:szCs w:val="24"/>
          <w:shd w:val="clear" w:color="auto" w:fill="FFFFFF"/>
        </w:rPr>
        <w:t xml:space="preserve">597-19.06.2025 г. </w:t>
      </w:r>
      <w:r w:rsidRPr="005D78C4">
        <w:rPr>
          <w:rFonts w:ascii="Times New Roman" w:hAnsi="Times New Roman" w:cs="Times New Roman"/>
          <w:bCs/>
          <w:sz w:val="24"/>
          <w:szCs w:val="24"/>
          <w:shd w:val="clear" w:color="auto" w:fill="FFFFFF"/>
        </w:rPr>
        <w:t>на</w:t>
      </w:r>
      <w:r w:rsidRPr="005D78C4">
        <w:rPr>
          <w:rFonts w:ascii="Times New Roman" w:hAnsi="Times New Roman" w:cs="Times New Roman"/>
          <w:b/>
          <w:bCs/>
          <w:sz w:val="24"/>
          <w:szCs w:val="24"/>
          <w:shd w:val="clear" w:color="auto" w:fill="FFFFFF"/>
        </w:rPr>
        <w:t xml:space="preserve"> </w:t>
      </w:r>
      <w:r w:rsidRPr="005D78C4">
        <w:rPr>
          <w:rFonts w:ascii="Times New Roman" w:eastAsia="Times New Roman" w:hAnsi="Times New Roman" w:cs="Times New Roman"/>
          <w:sz w:val="24"/>
          <w:szCs w:val="24"/>
          <w:lang w:eastAsia="bg-BG"/>
        </w:rPr>
        <w:t>основание чл. 38, ал. 1, т. 1 във вр. с чл. 91, ал. 1 и чл. 27 от ЗЗК, Комисията за защита на конкуренцията образува производство за извършване на секторен анализ на конкурентната среда на пазарите на бързооборотни хранителни стоки от първа необходимост..</w:t>
      </w:r>
    </w:p>
    <w:p w14:paraId="031D6B1C" w14:textId="77777777" w:rsidR="00815C3A" w:rsidRPr="005D78C4" w:rsidRDefault="00815C3A" w:rsidP="00DB66D9">
      <w:pPr>
        <w:shd w:val="clear" w:color="auto" w:fill="FFFFFF"/>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Образувания секторен анализ обхваща цялата верига на предлагането – от производството и дистрибуцията до търговията на дребно. Специално внимание ще се обърне на продукти от първа необходимост като яйца, мляко и млечни продукти, месо, брашно, хляб, олио и други. Обект на разследване са и основните дистрибутори на проучваните хранителни стоки.</w:t>
      </w:r>
    </w:p>
    <w:p w14:paraId="1AA2C04E" w14:textId="77777777" w:rsidR="00815C3A" w:rsidRPr="005D78C4" w:rsidRDefault="00815C3A" w:rsidP="00DB66D9">
      <w:pPr>
        <w:shd w:val="clear" w:color="auto" w:fill="FFFFFF"/>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При провеждане на производството КЗК ще си сътрудничи чрез обмен на данни и сигнали с Националната агенция за приходите, Комисията за защита на потребителите в рамките на тристранното споразумение, както и с други компетентни органи, предвид обединяване на усилията на институциите срещу евентуален необоснован ръст на цените преди и след въвеждане на еврото.</w:t>
      </w:r>
    </w:p>
    <w:p w14:paraId="70B82D7A" w14:textId="77777777" w:rsidR="00815C3A" w:rsidRPr="005D78C4" w:rsidRDefault="00815C3A" w:rsidP="00DB66D9">
      <w:pPr>
        <w:shd w:val="clear" w:color="auto" w:fill="FFFFFF"/>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В рамките на производството и във връзка с данните, получени на база сключените споразумения от извършените съвместни проверки на цените на НАП и КЗП в страната, Комисията за защита на конкуренцията допълнително изиска детайлна информация от 46 търговски вериги и търговци на дребно на хранителни стоки за управляваните от тях близо 500 обекта.</w:t>
      </w:r>
    </w:p>
    <w:p w14:paraId="64B59A8D" w14:textId="77777777" w:rsidR="00815C3A" w:rsidRPr="005D78C4" w:rsidRDefault="00815C3A" w:rsidP="00DB66D9">
      <w:pPr>
        <w:shd w:val="clear" w:color="auto" w:fill="FFFFFF"/>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Целта на анализа е да се открои </w:t>
      </w:r>
      <w:r w:rsidRPr="005D78C4">
        <w:rPr>
          <w:rFonts w:ascii="Times New Roman" w:hAnsi="Times New Roman" w:cs="Times New Roman"/>
          <w:sz w:val="24"/>
          <w:szCs w:val="24"/>
          <w:shd w:val="clear" w:color="auto" w:fill="FFFFFF"/>
        </w:rPr>
        <w:t>структурата на отделните пазари на локално и национално ниво, да се</w:t>
      </w:r>
      <w:r w:rsidRPr="005D78C4">
        <w:rPr>
          <w:rFonts w:ascii="Times New Roman" w:eastAsia="Times New Roman" w:hAnsi="Times New Roman" w:cs="Times New Roman"/>
          <w:sz w:val="24"/>
          <w:szCs w:val="24"/>
          <w:lang w:eastAsia="bg-BG"/>
        </w:rPr>
        <w:t xml:space="preserve"> установят причините за наблюдавания ръст в цените на </w:t>
      </w:r>
      <w:r w:rsidRPr="005D78C4">
        <w:rPr>
          <w:rFonts w:ascii="Times New Roman" w:eastAsia="Times New Roman" w:hAnsi="Times New Roman" w:cs="Times New Roman"/>
          <w:sz w:val="24"/>
          <w:szCs w:val="24"/>
          <w:lang w:eastAsia="bg-BG"/>
        </w:rPr>
        <w:lastRenderedPageBreak/>
        <w:t xml:space="preserve">основните храни и да се оцени доколко този ръст е икономически обоснован или е резултат от антиконкурентни или нелоялни практики, които нарушават принципите на свободната и лоялна конкуренция и вредят на потребителите. В хода на анализа ще бъдат анализирани и </w:t>
      </w:r>
      <w:r w:rsidRPr="005D78C4">
        <w:rPr>
          <w:rFonts w:ascii="Times New Roman" w:hAnsi="Times New Roman" w:cs="Times New Roman"/>
          <w:sz w:val="24"/>
          <w:szCs w:val="24"/>
          <w:shd w:val="clear" w:color="auto" w:fill="FFFFFF"/>
        </w:rPr>
        <w:t>договорните отношения по вертикала производител - доставчик/дистрибутор - търговски обект.</w:t>
      </w:r>
    </w:p>
    <w:p w14:paraId="121B94FF" w14:textId="58C95EB4" w:rsidR="00815C3A" w:rsidRPr="005D78C4" w:rsidRDefault="00815C3A" w:rsidP="00DB66D9">
      <w:pPr>
        <w:shd w:val="clear" w:color="auto" w:fill="FFFFFF"/>
        <w:spacing w:after="40" w:line="264" w:lineRule="auto"/>
        <w:ind w:firstLine="709"/>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По този начин Комисията ще може да предложи подходящи мерки и препоръки за тяхното преодоляване и да се идентифицират евентуални нарушения на конкурентните правила. Особен фокус е поставен върху риска от необосновано поскъпване на храните във връзка с предстоящото въвеждане на еврото, като КЗК ще проследи ценовите тенденции до края на 2025 г. и през 2026 г., за да гарантира ефективното функциониране на пазара и защита на потребителите.</w:t>
      </w:r>
    </w:p>
    <w:p w14:paraId="472FC424" w14:textId="77777777" w:rsidR="00815C3A" w:rsidRPr="005D78C4" w:rsidRDefault="00815C3A" w:rsidP="00DB66D9">
      <w:pPr>
        <w:pStyle w:val="ListParagraph"/>
        <w:spacing w:after="40" w:line="264" w:lineRule="auto"/>
        <w:ind w:left="0" w:firstLine="709"/>
        <w:jc w:val="both"/>
        <w:rPr>
          <w:rFonts w:ascii="Times New Roman" w:hAnsi="Times New Roman" w:cs="Times New Roman"/>
          <w:b/>
          <w:i/>
        </w:rPr>
      </w:pPr>
      <w:r w:rsidRPr="005D78C4">
        <w:rPr>
          <w:rFonts w:ascii="Times New Roman" w:hAnsi="Times New Roman" w:cs="Times New Roman"/>
          <w:b/>
          <w:i/>
        </w:rPr>
        <w:t>Сектор Фармация</w:t>
      </w:r>
    </w:p>
    <w:p w14:paraId="0E847A30" w14:textId="77777777" w:rsidR="00815C3A" w:rsidRPr="005D78C4" w:rsidRDefault="00815C3A" w:rsidP="00DB66D9">
      <w:pPr>
        <w:pStyle w:val="ListParagraph"/>
        <w:spacing w:after="40" w:line="264" w:lineRule="auto"/>
        <w:ind w:left="0" w:firstLine="709"/>
        <w:jc w:val="both"/>
        <w:rPr>
          <w:rFonts w:ascii="Times New Roman" w:hAnsi="Times New Roman" w:cs="Times New Roman"/>
        </w:rPr>
      </w:pPr>
      <w:r w:rsidRPr="005D78C4">
        <w:rPr>
          <w:rFonts w:ascii="Times New Roman" w:hAnsi="Times New Roman" w:cs="Times New Roman"/>
          <w:b/>
        </w:rPr>
        <w:t>С решение № 598/19.06.2025 г.</w:t>
      </w:r>
      <w:r w:rsidRPr="005D78C4">
        <w:rPr>
          <w:rFonts w:ascii="Times New Roman" w:hAnsi="Times New Roman" w:cs="Times New Roman"/>
        </w:rPr>
        <w:t xml:space="preserve"> Комисията, на основание чл. 38, ал. 1 във връзка с чл. 91, ал. 1 и чл. 27 от ЗЗК,  образува производство за извършване на секторен анализ на конкурентната среда на пазарите на търговия на едро и на дребно с лекарствени продукти.</w:t>
      </w:r>
    </w:p>
    <w:p w14:paraId="0B504680" w14:textId="4E7350D8" w:rsidR="00815C3A" w:rsidRPr="005D78C4" w:rsidRDefault="00815C3A" w:rsidP="00DB66D9">
      <w:pPr>
        <w:spacing w:after="40" w:line="264" w:lineRule="auto"/>
        <w:ind w:firstLine="708"/>
        <w:jc w:val="both"/>
        <w:rPr>
          <w:rFonts w:ascii="Times New Roman" w:eastAsia="Calibri" w:hAnsi="Times New Roman" w:cs="Times New Roman"/>
          <w:sz w:val="24"/>
          <w:szCs w:val="24"/>
        </w:rPr>
      </w:pPr>
      <w:r w:rsidRPr="005D78C4">
        <w:rPr>
          <w:rFonts w:ascii="Times New Roman" w:hAnsi="Times New Roman" w:cs="Times New Roman"/>
          <w:sz w:val="24"/>
          <w:szCs w:val="24"/>
        </w:rPr>
        <w:t xml:space="preserve">Съгласно своите годишни Приоритети, КЗК извършва постоянно наблюдение на динамиката и развитието на секторите със съществено социално-икономическо значение, сред които е и фармацевтичният сектор. </w:t>
      </w:r>
      <w:r w:rsidRPr="005D78C4">
        <w:rPr>
          <w:rFonts w:ascii="Times New Roman" w:eastAsia="Calibri" w:hAnsi="Times New Roman" w:cs="Times New Roman"/>
          <w:sz w:val="24"/>
          <w:szCs w:val="24"/>
        </w:rPr>
        <w:t>В тази връзка Комисията следи поведението на участниците в сектора на всяко едно ниво от веригата на доставка на лекарствени продукти и за евентуалното нарушаване на</w:t>
      </w:r>
      <w:r w:rsidR="003D1D32" w:rsidRPr="005D78C4">
        <w:rPr>
          <w:rFonts w:ascii="Times New Roman" w:eastAsia="Calibri" w:hAnsi="Times New Roman" w:cs="Times New Roman"/>
          <w:sz w:val="24"/>
          <w:szCs w:val="24"/>
        </w:rPr>
        <w:t xml:space="preserve"> конкурентната среда в лекарствено-</w:t>
      </w:r>
      <w:r w:rsidRPr="005D78C4">
        <w:rPr>
          <w:rFonts w:ascii="Times New Roman" w:eastAsia="Calibri" w:hAnsi="Times New Roman" w:cs="Times New Roman"/>
          <w:sz w:val="24"/>
          <w:szCs w:val="24"/>
        </w:rPr>
        <w:t>снабдителния процес.</w:t>
      </w:r>
    </w:p>
    <w:p w14:paraId="21AD65C8" w14:textId="77777777" w:rsidR="00815C3A" w:rsidRPr="005D78C4" w:rsidRDefault="00815C3A" w:rsidP="00DB66D9">
      <w:pPr>
        <w:spacing w:after="40" w:line="264" w:lineRule="auto"/>
        <w:ind w:firstLine="708"/>
        <w:jc w:val="both"/>
        <w:rPr>
          <w:rFonts w:ascii="Times New Roman" w:eastAsia="Calibri" w:hAnsi="Times New Roman" w:cs="Times New Roman"/>
          <w:sz w:val="24"/>
          <w:szCs w:val="24"/>
        </w:rPr>
      </w:pPr>
      <w:r w:rsidRPr="005D78C4">
        <w:rPr>
          <w:rFonts w:ascii="Times New Roman" w:eastAsia="Calibri" w:hAnsi="Times New Roman" w:cs="Times New Roman"/>
          <w:sz w:val="24"/>
          <w:szCs w:val="24"/>
        </w:rPr>
        <w:t>Във връзка с този мониторинг от началото на годината са установени недостиг на широк набор от медикаменти за лечение на съществени групи от заболявания - лекарства за недоносени деца, за лечение на диабет, антибиотици,  основни онкологични лекарства и др., като за някои от тях Министърът на здравеопазването е наложил забрани за износ от страната. Недостигът на лекарствени продукти може да се дължи на причини  свързани с производствени проблеми, водещи до забавяне или прекъсване на производството, недостиг на суровини, увеличено търсене и употреба на определени лекарства и проблеми с дистрибуцията, но също така и от специфичната ценова регулация и възможностите за паралелен износ.</w:t>
      </w:r>
    </w:p>
    <w:p w14:paraId="142675DC" w14:textId="77777777" w:rsidR="00815C3A" w:rsidRPr="005D78C4" w:rsidRDefault="00815C3A" w:rsidP="00DB66D9">
      <w:pPr>
        <w:spacing w:after="40" w:line="264" w:lineRule="auto"/>
        <w:ind w:firstLine="708"/>
        <w:jc w:val="both"/>
        <w:rPr>
          <w:rFonts w:ascii="Times New Roman" w:eastAsia="Calibri" w:hAnsi="Times New Roman" w:cs="Times New Roman"/>
          <w:sz w:val="24"/>
          <w:szCs w:val="24"/>
        </w:rPr>
      </w:pPr>
      <w:r w:rsidRPr="005D78C4">
        <w:rPr>
          <w:rFonts w:ascii="Times New Roman" w:eastAsia="Calibri" w:hAnsi="Times New Roman" w:cs="Times New Roman"/>
          <w:sz w:val="24"/>
          <w:szCs w:val="24"/>
        </w:rPr>
        <w:t>Също така съгласно съвместен доклад на Европейската Комисия и на Организацията за икономическо сътрудничество и развитие се установи, че през 2024 г. преките плащания на пациентите за здравни услуги са един от основните фактори за високите разходи за здравеопазване в България, които се изчисляват на 34% от дохода на домакинствата, докато средната стойност в ЕС е 14,5%. В периода 2018 г. - 2023 г. тези разходи са нараснали повече от два пъти, като прогнозите са в рамките на  2023 г. - 2050 г. същите да бележат ръст от 45%.</w:t>
      </w:r>
    </w:p>
    <w:p w14:paraId="22844859" w14:textId="77777777" w:rsidR="00815C3A" w:rsidRPr="005D78C4" w:rsidRDefault="00815C3A" w:rsidP="00DB66D9">
      <w:pPr>
        <w:spacing w:after="40" w:line="264" w:lineRule="auto"/>
        <w:ind w:firstLine="708"/>
        <w:jc w:val="both"/>
        <w:rPr>
          <w:rFonts w:ascii="Times New Roman" w:eastAsia="Calibri" w:hAnsi="Times New Roman" w:cs="Times New Roman"/>
          <w:sz w:val="24"/>
          <w:szCs w:val="24"/>
        </w:rPr>
      </w:pPr>
      <w:r w:rsidRPr="005D78C4">
        <w:rPr>
          <w:rFonts w:ascii="Times New Roman" w:eastAsia="Calibri" w:hAnsi="Times New Roman" w:cs="Times New Roman"/>
          <w:sz w:val="24"/>
          <w:szCs w:val="24"/>
        </w:rPr>
        <w:t>Предвид посочените по-горе проблеми на фармацевтичния пазар и с оглед опасенията, свързани с предстоящото въвеждане на еврото от началото на 2026 г. в страната, Комисията прие, че са налице сериозни съмнения за съществуването на бариери в дистрибуцията на лекарствени продукти, поради което е необходимо извършването на задълбочен секторен анализ на конкурентната среда.</w:t>
      </w:r>
      <w:r w:rsidRPr="005D78C4">
        <w:rPr>
          <w:rFonts w:ascii="Times New Roman" w:hAnsi="Times New Roman" w:cs="Times New Roman"/>
          <w:sz w:val="24"/>
          <w:szCs w:val="24"/>
        </w:rPr>
        <w:t xml:space="preserve"> </w:t>
      </w:r>
      <w:r w:rsidRPr="005D78C4">
        <w:rPr>
          <w:rFonts w:ascii="Times New Roman" w:eastAsia="Calibri" w:hAnsi="Times New Roman" w:cs="Times New Roman"/>
          <w:sz w:val="24"/>
          <w:szCs w:val="24"/>
        </w:rPr>
        <w:t xml:space="preserve">Подобен анализ ще даде детайлна представа за структурата на пазарите по веригата на доставка на лекарствени продукти в страната, условията за тяхното функциониране, поведението на участниците в лекарствоснабдителния процес, както и нуждата от предприемане от </w:t>
      </w:r>
      <w:r w:rsidRPr="005D78C4">
        <w:rPr>
          <w:rFonts w:ascii="Times New Roman" w:eastAsia="Calibri" w:hAnsi="Times New Roman" w:cs="Times New Roman"/>
          <w:sz w:val="24"/>
          <w:szCs w:val="24"/>
        </w:rPr>
        <w:lastRenderedPageBreak/>
        <w:t>страна на КЗК на съответните мерки за подобряване и/или възстановяване на конкуренцията в сектора, съгласно разпоредбите на ЗЗК.</w:t>
      </w:r>
    </w:p>
    <w:p w14:paraId="47D8467D" w14:textId="6ECCCBA8" w:rsidR="00815C3A" w:rsidRPr="005D78C4" w:rsidRDefault="00815C3A" w:rsidP="00DB66D9">
      <w:pPr>
        <w:spacing w:after="40" w:line="264" w:lineRule="auto"/>
        <w:ind w:firstLine="708"/>
        <w:jc w:val="both"/>
        <w:rPr>
          <w:rFonts w:ascii="Times New Roman" w:eastAsia="Calibri" w:hAnsi="Times New Roman" w:cs="Times New Roman"/>
          <w:sz w:val="24"/>
          <w:szCs w:val="24"/>
        </w:rPr>
      </w:pPr>
      <w:r w:rsidRPr="005D78C4">
        <w:rPr>
          <w:rFonts w:ascii="Times New Roman" w:eastAsia="Calibri" w:hAnsi="Times New Roman" w:cs="Times New Roman"/>
          <w:sz w:val="24"/>
          <w:szCs w:val="24"/>
        </w:rPr>
        <w:t xml:space="preserve">В тази връзка през отчетния период започна процеса по изготвяне на подробни въпросници до участниците на вертикално свързаните пазари за продажба на лекарствени продукти, браншови организации/асоциации и държавни институции, както и подготовка за провеждане на срещи с техни представители.  </w:t>
      </w:r>
    </w:p>
    <w:p w14:paraId="016B7B31" w14:textId="77777777" w:rsidR="004B29E2" w:rsidRPr="005D78C4" w:rsidRDefault="004B29E2" w:rsidP="00DB66D9">
      <w:pPr>
        <w:spacing w:after="40" w:line="264" w:lineRule="auto"/>
        <w:jc w:val="both"/>
        <w:rPr>
          <w:rFonts w:ascii="Times New Roman" w:eastAsia="Times New Roman" w:hAnsi="Times New Roman" w:cs="Times New Roman"/>
          <w:sz w:val="24"/>
          <w:szCs w:val="24"/>
          <w:lang w:eastAsia="bg-BG"/>
        </w:rPr>
      </w:pPr>
    </w:p>
    <w:p w14:paraId="1C010BC6" w14:textId="36B5AA62" w:rsidR="007954E2" w:rsidRPr="005D78C4" w:rsidRDefault="003B381F" w:rsidP="00DB66D9">
      <w:pPr>
        <w:pStyle w:val="ListParagraph"/>
        <w:numPr>
          <w:ilvl w:val="0"/>
          <w:numId w:val="12"/>
        </w:numPr>
        <w:spacing w:after="40" w:line="264" w:lineRule="auto"/>
        <w:ind w:left="1134" w:hanging="425"/>
        <w:jc w:val="both"/>
        <w:rPr>
          <w:rFonts w:ascii="Times New Roman" w:hAnsi="Times New Roman" w:cs="Times New Roman"/>
          <w:b/>
        </w:rPr>
      </w:pPr>
      <w:r w:rsidRPr="005D78C4">
        <w:rPr>
          <w:rFonts w:ascii="Times New Roman" w:hAnsi="Times New Roman" w:cs="Times New Roman"/>
          <w:b/>
        </w:rPr>
        <w:t>Решения и Определения по  Глава VІІ  от ЗЗК</w:t>
      </w:r>
    </w:p>
    <w:p w14:paraId="7318B66F" w14:textId="26F4AB04" w:rsidR="00240A33" w:rsidRPr="005D78C4" w:rsidRDefault="008E52EE" w:rsidP="00DB66D9">
      <w:pPr>
        <w:pStyle w:val="ListParagraph"/>
        <w:numPr>
          <w:ilvl w:val="0"/>
          <w:numId w:val="35"/>
        </w:numPr>
        <w:spacing w:after="40" w:line="264" w:lineRule="auto"/>
        <w:ind w:hanging="11"/>
        <w:jc w:val="both"/>
        <w:rPr>
          <w:rFonts w:ascii="Times New Roman" w:hAnsi="Times New Roman" w:cs="Times New Roman"/>
          <w:b/>
        </w:rPr>
      </w:pPr>
      <w:r w:rsidRPr="005D78C4">
        <w:rPr>
          <w:rFonts w:ascii="Times New Roman" w:hAnsi="Times New Roman" w:cs="Times New Roman"/>
          <w:b/>
        </w:rPr>
        <w:t>Образувани производства</w:t>
      </w:r>
    </w:p>
    <w:p w14:paraId="0090FD45" w14:textId="2D3F3835" w:rsidR="00546122" w:rsidRPr="005D78C4" w:rsidRDefault="00546122" w:rsidP="00DB66D9">
      <w:pPr>
        <w:spacing w:after="40" w:line="264" w:lineRule="auto"/>
        <w:ind w:firstLine="709"/>
        <w:jc w:val="both"/>
        <w:rPr>
          <w:rFonts w:ascii="Times New Roman" w:hAnsi="Times New Roman"/>
          <w:sz w:val="24"/>
          <w:szCs w:val="24"/>
        </w:rPr>
      </w:pPr>
      <w:r w:rsidRPr="005D78C4">
        <w:rPr>
          <w:rFonts w:ascii="Times New Roman" w:hAnsi="Times New Roman"/>
          <w:sz w:val="24"/>
          <w:szCs w:val="24"/>
        </w:rPr>
        <w:t xml:space="preserve">През посочения период в Комисията са образувани общо </w:t>
      </w:r>
      <w:r w:rsidRPr="005D78C4">
        <w:rPr>
          <w:rFonts w:ascii="Times New Roman" w:hAnsi="Times New Roman"/>
          <w:sz w:val="24"/>
          <w:szCs w:val="24"/>
          <w:lang w:val="ru-RU"/>
        </w:rPr>
        <w:t>21</w:t>
      </w:r>
      <w:r w:rsidRPr="005D78C4">
        <w:rPr>
          <w:rFonts w:ascii="Times New Roman" w:hAnsi="Times New Roman"/>
          <w:sz w:val="24"/>
          <w:szCs w:val="24"/>
        </w:rPr>
        <w:t xml:space="preserve"> производства, имащи за цел да установят наличието или липсата на нарушения по Глава VІІ от ЗЗК „Забрана за нелоялна конкуренция“. От тях </w:t>
      </w:r>
      <w:r w:rsidRPr="005D78C4">
        <w:rPr>
          <w:rFonts w:ascii="Times New Roman" w:hAnsi="Times New Roman"/>
          <w:sz w:val="24"/>
          <w:szCs w:val="24"/>
          <w:lang w:val="ru-RU"/>
        </w:rPr>
        <w:t xml:space="preserve">18 </w:t>
      </w:r>
      <w:r w:rsidRPr="005D78C4">
        <w:rPr>
          <w:rFonts w:ascii="Times New Roman" w:hAnsi="Times New Roman"/>
          <w:sz w:val="24"/>
          <w:szCs w:val="24"/>
        </w:rPr>
        <w:t>са образувани по искане на лицата, чиито интереси са засегнати или застрашени от нарушение на ЗЗК</w:t>
      </w:r>
      <w:r w:rsidRPr="005D78C4">
        <w:rPr>
          <w:rFonts w:ascii="Times New Roman" w:hAnsi="Times New Roman"/>
          <w:sz w:val="24"/>
          <w:szCs w:val="24"/>
          <w:lang w:val="ru-RU"/>
        </w:rPr>
        <w:t xml:space="preserve"> </w:t>
      </w:r>
      <w:r w:rsidRPr="005D78C4">
        <w:rPr>
          <w:rFonts w:ascii="Times New Roman" w:hAnsi="Times New Roman"/>
          <w:sz w:val="24"/>
          <w:szCs w:val="24"/>
        </w:rPr>
        <w:t>и 3 върнати от АССО и ВАС решения на КЗК за ново произнасяне.</w:t>
      </w:r>
      <w:r w:rsidR="00151FF8" w:rsidRPr="005D78C4">
        <w:rPr>
          <w:rFonts w:ascii="Times New Roman" w:hAnsi="Times New Roman"/>
          <w:sz w:val="24"/>
          <w:szCs w:val="24"/>
        </w:rPr>
        <w:t xml:space="preserve"> Наблюдава се увеличение на броя на образуваните производства по реда на глава 7 спрямо референтния период от 2024 г.</w:t>
      </w:r>
    </w:p>
    <w:p w14:paraId="37EE2833" w14:textId="42D5A5F2" w:rsidR="00240A33" w:rsidRPr="005D78C4" w:rsidRDefault="008E52EE" w:rsidP="00DB66D9">
      <w:pPr>
        <w:pStyle w:val="ListParagraph"/>
        <w:numPr>
          <w:ilvl w:val="0"/>
          <w:numId w:val="35"/>
        </w:numPr>
        <w:spacing w:after="40" w:line="264" w:lineRule="auto"/>
        <w:ind w:hanging="11"/>
        <w:jc w:val="both"/>
        <w:rPr>
          <w:rFonts w:ascii="Times New Roman" w:hAnsi="Times New Roman"/>
        </w:rPr>
      </w:pPr>
      <w:r w:rsidRPr="005D78C4">
        <w:rPr>
          <w:rFonts w:ascii="Times New Roman" w:hAnsi="Times New Roman" w:cs="Times New Roman"/>
          <w:b/>
        </w:rPr>
        <w:t>Постановени решения</w:t>
      </w:r>
    </w:p>
    <w:p w14:paraId="67F2FCAE" w14:textId="6E8C347E" w:rsidR="00E65D15" w:rsidRPr="005D78C4" w:rsidRDefault="00E65D15" w:rsidP="00DB66D9">
      <w:pPr>
        <w:spacing w:after="40" w:line="264" w:lineRule="auto"/>
        <w:ind w:firstLine="709"/>
        <w:jc w:val="both"/>
        <w:rPr>
          <w:rFonts w:ascii="Times New Roman" w:hAnsi="Times New Roman"/>
          <w:sz w:val="24"/>
          <w:szCs w:val="24"/>
        </w:rPr>
      </w:pPr>
      <w:r w:rsidRPr="005D78C4">
        <w:rPr>
          <w:rFonts w:ascii="Times New Roman" w:hAnsi="Times New Roman"/>
          <w:sz w:val="24"/>
          <w:szCs w:val="24"/>
        </w:rPr>
        <w:t xml:space="preserve">През същия период Комисията постанови общо </w:t>
      </w:r>
      <w:r w:rsidRPr="005D78C4">
        <w:rPr>
          <w:rFonts w:ascii="Times New Roman" w:hAnsi="Times New Roman"/>
          <w:sz w:val="24"/>
          <w:szCs w:val="24"/>
          <w:lang w:val="ru-RU"/>
        </w:rPr>
        <w:t>9</w:t>
      </w:r>
      <w:r w:rsidRPr="005D78C4">
        <w:rPr>
          <w:rFonts w:ascii="Times New Roman" w:hAnsi="Times New Roman"/>
          <w:sz w:val="24"/>
          <w:szCs w:val="24"/>
        </w:rPr>
        <w:t xml:space="preserve"> решения във връзка с прилагането на Глава VІІ, VІІ „а“ (отм.) и VІІ „б“ от ЗЗК.</w:t>
      </w:r>
    </w:p>
    <w:p w14:paraId="6FD491D9" w14:textId="0CD0429A" w:rsidR="00E65D15" w:rsidRPr="005D78C4" w:rsidRDefault="00E65D15" w:rsidP="00DB66D9">
      <w:pPr>
        <w:spacing w:after="40" w:line="264" w:lineRule="auto"/>
        <w:ind w:firstLine="709"/>
        <w:jc w:val="both"/>
        <w:rPr>
          <w:rFonts w:ascii="Times New Roman" w:hAnsi="Times New Roman"/>
          <w:sz w:val="24"/>
          <w:szCs w:val="24"/>
        </w:rPr>
      </w:pPr>
      <w:r w:rsidRPr="005D78C4">
        <w:rPr>
          <w:rFonts w:ascii="Times New Roman" w:hAnsi="Times New Roman"/>
          <w:sz w:val="24"/>
          <w:szCs w:val="24"/>
        </w:rPr>
        <w:t>С 6 от постановените решения Комисията установява общо 9 извършени нарушения, представляващи нелоялна конкуренция от страна на ответни предприятия и/или физически лица, с 1 установява прилагане на забранени търговски практики, с 1 налага имуществена санкция и с 2 прекратява производството:</w:t>
      </w:r>
    </w:p>
    <w:p w14:paraId="48EC2E96" w14:textId="77777777" w:rsidR="00E65D15" w:rsidRPr="005D78C4" w:rsidRDefault="00E65D15" w:rsidP="00DB66D9">
      <w:pPr>
        <w:spacing w:after="40" w:line="264" w:lineRule="auto"/>
        <w:ind w:firstLine="709"/>
        <w:jc w:val="both"/>
        <w:rPr>
          <w:rFonts w:ascii="Times New Roman" w:hAnsi="Times New Roman"/>
          <w:sz w:val="24"/>
          <w:szCs w:val="24"/>
        </w:rPr>
      </w:pPr>
      <w:r w:rsidRPr="005D78C4">
        <w:rPr>
          <w:rFonts w:ascii="Times New Roman" w:hAnsi="Times New Roman"/>
          <w:sz w:val="24"/>
          <w:szCs w:val="24"/>
        </w:rPr>
        <w:t>а) на основание чл. 98, ал. 1, т. 1 от ЗЗК Комисията установява извършеното нарушение и нарушителя по някоя от разпоредбите на Глава VІІ от ЗЗК – 5 решения;</w:t>
      </w:r>
    </w:p>
    <w:p w14:paraId="27C41AF8" w14:textId="77777777" w:rsidR="00E65D15" w:rsidRPr="005D78C4" w:rsidRDefault="00E65D15" w:rsidP="00DB66D9">
      <w:pPr>
        <w:spacing w:after="40" w:line="264" w:lineRule="auto"/>
        <w:ind w:firstLine="709"/>
        <w:jc w:val="both"/>
        <w:rPr>
          <w:rFonts w:ascii="Times New Roman" w:hAnsi="Times New Roman"/>
          <w:sz w:val="24"/>
          <w:szCs w:val="24"/>
        </w:rPr>
      </w:pPr>
      <w:r w:rsidRPr="005D78C4">
        <w:rPr>
          <w:rFonts w:ascii="Times New Roman" w:hAnsi="Times New Roman"/>
          <w:sz w:val="24"/>
          <w:szCs w:val="24"/>
        </w:rPr>
        <w:t>б) на основание чл. 98, ал. 1, т. 1 от ЗЗК Комисията установява извършеното нарушение и нарушителя по някоя от разпоредбите на Глава VІІ „б“ от ЗЗК – 1 решение;</w:t>
      </w:r>
    </w:p>
    <w:p w14:paraId="294B53D8" w14:textId="77777777" w:rsidR="00E65D15" w:rsidRPr="005D78C4" w:rsidRDefault="00E65D15" w:rsidP="00DB66D9">
      <w:pPr>
        <w:spacing w:after="40" w:line="264" w:lineRule="auto"/>
        <w:ind w:firstLine="709"/>
        <w:jc w:val="both"/>
        <w:rPr>
          <w:rFonts w:ascii="Times New Roman" w:hAnsi="Times New Roman"/>
          <w:sz w:val="24"/>
          <w:szCs w:val="24"/>
        </w:rPr>
      </w:pPr>
      <w:r w:rsidRPr="005D78C4">
        <w:rPr>
          <w:rFonts w:ascii="Times New Roman" w:hAnsi="Times New Roman"/>
          <w:sz w:val="24"/>
          <w:szCs w:val="24"/>
        </w:rPr>
        <w:t>в) на основание чл. 98, ал. 1, т. 1 от ЗЗК Комисията налага санкция за установено от АССО извършеното нарушение и нарушителя по някоя от разпоредбите на Глава VІІ от ЗЗК – 1 решение</w:t>
      </w:r>
    </w:p>
    <w:p w14:paraId="49DC3E57" w14:textId="77777777" w:rsidR="00E65D15" w:rsidRPr="005D78C4" w:rsidRDefault="00E65D15" w:rsidP="00DB66D9">
      <w:pPr>
        <w:spacing w:after="40" w:line="264" w:lineRule="auto"/>
        <w:ind w:firstLine="709"/>
        <w:jc w:val="both"/>
        <w:rPr>
          <w:rFonts w:ascii="Times New Roman" w:hAnsi="Times New Roman"/>
          <w:sz w:val="24"/>
          <w:szCs w:val="24"/>
        </w:rPr>
      </w:pPr>
      <w:r w:rsidRPr="005D78C4">
        <w:rPr>
          <w:rFonts w:ascii="Times New Roman" w:hAnsi="Times New Roman"/>
          <w:sz w:val="24"/>
          <w:szCs w:val="24"/>
        </w:rPr>
        <w:t>г) на основание чл. 98, ал. 2, т. 2 от ЗЗК прекратява производството прекратява поради оттегляне на искането – 1 решение;</w:t>
      </w:r>
    </w:p>
    <w:p w14:paraId="21506447" w14:textId="32C02E56" w:rsidR="00E65D15" w:rsidRPr="005D78C4" w:rsidRDefault="00E65D15" w:rsidP="00DB66D9">
      <w:pPr>
        <w:spacing w:after="40" w:line="264" w:lineRule="auto"/>
        <w:ind w:firstLine="709"/>
        <w:jc w:val="both"/>
        <w:rPr>
          <w:rFonts w:ascii="Times New Roman" w:hAnsi="Times New Roman"/>
          <w:sz w:val="24"/>
          <w:szCs w:val="24"/>
        </w:rPr>
      </w:pPr>
      <w:r w:rsidRPr="005D78C4">
        <w:rPr>
          <w:rFonts w:ascii="Times New Roman" w:hAnsi="Times New Roman"/>
          <w:sz w:val="24"/>
          <w:szCs w:val="24"/>
        </w:rPr>
        <w:t>д) на основание чл. 98, ал. 2, т. 5 от ЗЗК прекратява производството прекратява поради липса на правен интерес – 1 решение.</w:t>
      </w:r>
    </w:p>
    <w:p w14:paraId="11BE764E" w14:textId="41F0D8E9" w:rsidR="00151FF8" w:rsidRPr="005D78C4" w:rsidRDefault="00151FF8" w:rsidP="00DB66D9">
      <w:pPr>
        <w:spacing w:after="40" w:line="264" w:lineRule="auto"/>
        <w:ind w:firstLine="709"/>
        <w:jc w:val="both"/>
        <w:rPr>
          <w:rFonts w:ascii="Times New Roman" w:hAnsi="Times New Roman"/>
          <w:sz w:val="24"/>
          <w:szCs w:val="24"/>
        </w:rPr>
      </w:pPr>
      <w:r w:rsidRPr="005D78C4">
        <w:rPr>
          <w:rFonts w:ascii="Times New Roman" w:hAnsi="Times New Roman"/>
          <w:sz w:val="24"/>
          <w:szCs w:val="24"/>
        </w:rPr>
        <w:t>Анализът на данните спрямо референтния период от 2024 г. показва по-голям брой образувани производства и по-малко на брой постановени реш</w:t>
      </w:r>
      <w:r w:rsidR="00C450E0" w:rsidRPr="005D78C4">
        <w:rPr>
          <w:rFonts w:ascii="Times New Roman" w:hAnsi="Times New Roman"/>
          <w:sz w:val="24"/>
          <w:szCs w:val="24"/>
        </w:rPr>
        <w:t>ения, тъй като ресурсът е бил насочен към провежданите предварителни проучвания преди образуване на производствата. Настоящият състав на Комисията интензифицира работата по висящите производства по глава 7 ЗЗК</w:t>
      </w:r>
      <w:r w:rsidR="00F92718" w:rsidRPr="005D78C4">
        <w:rPr>
          <w:rFonts w:ascii="Times New Roman" w:hAnsi="Times New Roman"/>
          <w:sz w:val="24"/>
          <w:szCs w:val="24"/>
        </w:rPr>
        <w:t>, като до края на годината се очаква да се подобрят значително показателите на постановените актове, а амбицията е да се подобрят и показателите по обжалваемостта им.</w:t>
      </w:r>
    </w:p>
    <w:p w14:paraId="258F3692" w14:textId="77777777" w:rsidR="00151FF8" w:rsidRPr="005D78C4" w:rsidRDefault="00151FF8" w:rsidP="00DB66D9">
      <w:pPr>
        <w:spacing w:after="40" w:line="264" w:lineRule="auto"/>
        <w:ind w:firstLine="709"/>
        <w:jc w:val="both"/>
        <w:rPr>
          <w:rFonts w:ascii="Times New Roman" w:hAnsi="Times New Roman"/>
          <w:sz w:val="24"/>
          <w:szCs w:val="24"/>
        </w:rPr>
      </w:pPr>
    </w:p>
    <w:p w14:paraId="2C3F1033" w14:textId="0A8CF96F" w:rsidR="00240A33" w:rsidRPr="005D78C4" w:rsidRDefault="00240A33" w:rsidP="00DB66D9">
      <w:pPr>
        <w:pStyle w:val="ListParagraph"/>
        <w:numPr>
          <w:ilvl w:val="0"/>
          <w:numId w:val="35"/>
        </w:numPr>
        <w:tabs>
          <w:tab w:val="left" w:pos="1134"/>
        </w:tabs>
        <w:spacing w:after="40" w:line="264" w:lineRule="auto"/>
        <w:jc w:val="both"/>
        <w:rPr>
          <w:rFonts w:ascii="Times New Roman" w:hAnsi="Times New Roman" w:cs="Times New Roman"/>
          <w:b/>
        </w:rPr>
      </w:pPr>
      <w:r w:rsidRPr="005D78C4">
        <w:rPr>
          <w:rFonts w:ascii="Times New Roman" w:hAnsi="Times New Roman" w:cs="Times New Roman"/>
          <w:b/>
        </w:rPr>
        <w:t>Наложени имуществени санкции и глоби</w:t>
      </w:r>
    </w:p>
    <w:p w14:paraId="4F239CC7" w14:textId="555C7FA6" w:rsidR="00E6002D" w:rsidRPr="005D78C4" w:rsidRDefault="00E6002D" w:rsidP="00DB66D9">
      <w:pPr>
        <w:spacing w:after="40" w:line="264" w:lineRule="auto"/>
        <w:ind w:firstLine="709"/>
        <w:jc w:val="both"/>
        <w:rPr>
          <w:rFonts w:ascii="Times New Roman" w:hAnsi="Times New Roman"/>
          <w:sz w:val="24"/>
          <w:szCs w:val="24"/>
        </w:rPr>
      </w:pPr>
      <w:r w:rsidRPr="005D78C4">
        <w:rPr>
          <w:rFonts w:ascii="Times New Roman" w:hAnsi="Times New Roman"/>
          <w:sz w:val="24"/>
          <w:szCs w:val="24"/>
        </w:rPr>
        <w:t xml:space="preserve">Със 7 решения Комисията е наложила имуществени санкции и/или глоби общо в размер на 2 611 991 лв. за извършени нарушения по Глава </w:t>
      </w:r>
      <w:r w:rsidRPr="005D78C4">
        <w:rPr>
          <w:rFonts w:ascii="Times New Roman" w:hAnsi="Times New Roman"/>
          <w:sz w:val="24"/>
          <w:szCs w:val="24"/>
          <w:lang w:val="en-US"/>
        </w:rPr>
        <w:t>VII</w:t>
      </w:r>
      <w:r w:rsidRPr="005D78C4">
        <w:rPr>
          <w:rFonts w:ascii="Times New Roman" w:hAnsi="Times New Roman"/>
          <w:sz w:val="24"/>
          <w:szCs w:val="24"/>
        </w:rPr>
        <w:t xml:space="preserve"> и VІІ „б“ от ЗЗК.</w:t>
      </w:r>
      <w:r w:rsidR="00F92718" w:rsidRPr="005D78C4">
        <w:rPr>
          <w:rFonts w:ascii="Times New Roman" w:hAnsi="Times New Roman"/>
          <w:sz w:val="24"/>
          <w:szCs w:val="24"/>
        </w:rPr>
        <w:t xml:space="preserve"> </w:t>
      </w:r>
      <w:r w:rsidR="003243C8" w:rsidRPr="005D78C4">
        <w:rPr>
          <w:rFonts w:ascii="Times New Roman" w:hAnsi="Times New Roman"/>
          <w:sz w:val="24"/>
          <w:szCs w:val="24"/>
        </w:rPr>
        <w:t xml:space="preserve">Спрямо </w:t>
      </w:r>
      <w:r w:rsidR="003243C8" w:rsidRPr="005D78C4">
        <w:rPr>
          <w:rFonts w:ascii="Times New Roman" w:hAnsi="Times New Roman"/>
          <w:sz w:val="24"/>
          <w:szCs w:val="24"/>
        </w:rPr>
        <w:lastRenderedPageBreak/>
        <w:t>референтния период на 2024 г. се наблюдава съществено повишение на размера на наложените санкции по глава 7 и 7б от ЗЗК (над два пъти и половина).</w:t>
      </w:r>
    </w:p>
    <w:p w14:paraId="244263AC" w14:textId="77777777" w:rsidR="00E6002D" w:rsidRPr="005D78C4" w:rsidRDefault="00E6002D" w:rsidP="00DB66D9">
      <w:pPr>
        <w:spacing w:after="40" w:line="264" w:lineRule="auto"/>
        <w:ind w:firstLine="709"/>
        <w:jc w:val="both"/>
        <w:rPr>
          <w:rFonts w:ascii="Times New Roman" w:hAnsi="Times New Roman"/>
          <w:sz w:val="24"/>
          <w:szCs w:val="24"/>
        </w:rPr>
      </w:pPr>
      <w:r w:rsidRPr="005D78C4">
        <w:rPr>
          <w:rFonts w:ascii="Times New Roman" w:hAnsi="Times New Roman"/>
          <w:sz w:val="24"/>
          <w:szCs w:val="24"/>
        </w:rPr>
        <w:t>През отчетния период Комисията е наложила имуществени санкции и/или глоби, както следва:</w:t>
      </w:r>
    </w:p>
    <w:p w14:paraId="21F68E1C" w14:textId="77777777" w:rsidR="00E6002D" w:rsidRPr="005D78C4" w:rsidRDefault="00E6002D" w:rsidP="00DB66D9">
      <w:pPr>
        <w:spacing w:after="40" w:line="264" w:lineRule="auto"/>
        <w:ind w:firstLine="709"/>
        <w:jc w:val="both"/>
        <w:rPr>
          <w:rFonts w:ascii="Times New Roman" w:hAnsi="Times New Roman"/>
          <w:sz w:val="24"/>
          <w:szCs w:val="24"/>
        </w:rPr>
      </w:pPr>
      <w:r w:rsidRPr="005D78C4">
        <w:rPr>
          <w:rFonts w:ascii="Times New Roman" w:hAnsi="Times New Roman"/>
          <w:sz w:val="24"/>
          <w:szCs w:val="24"/>
        </w:rPr>
        <w:t>- за нарушение на общата забрана за извършване на нелоялна конкуренция по чл. 29 от ЗЗК – в общ размер 35 360 лв.;</w:t>
      </w:r>
    </w:p>
    <w:p w14:paraId="0AB68CBC" w14:textId="77777777" w:rsidR="00E6002D" w:rsidRPr="005D78C4" w:rsidRDefault="00E6002D" w:rsidP="00DB66D9">
      <w:pPr>
        <w:spacing w:after="40" w:line="264" w:lineRule="auto"/>
        <w:ind w:firstLine="709"/>
        <w:jc w:val="both"/>
        <w:rPr>
          <w:rFonts w:ascii="Times New Roman" w:hAnsi="Times New Roman"/>
          <w:sz w:val="24"/>
          <w:szCs w:val="24"/>
        </w:rPr>
      </w:pPr>
      <w:r w:rsidRPr="005D78C4">
        <w:rPr>
          <w:rFonts w:ascii="Times New Roman" w:hAnsi="Times New Roman"/>
          <w:sz w:val="24"/>
          <w:szCs w:val="24"/>
        </w:rPr>
        <w:t>- за нарушение на забраната за въвеждане в заблуждение по чл. 31 от ЗЗК – в общ размер 1 482 511 лв.;</w:t>
      </w:r>
    </w:p>
    <w:p w14:paraId="1841C37E" w14:textId="77777777" w:rsidR="00E6002D" w:rsidRPr="005D78C4" w:rsidRDefault="00E6002D" w:rsidP="00DB66D9">
      <w:pPr>
        <w:spacing w:after="40" w:line="264" w:lineRule="auto"/>
        <w:ind w:firstLine="709"/>
        <w:jc w:val="both"/>
        <w:rPr>
          <w:rFonts w:ascii="Times New Roman" w:hAnsi="Times New Roman"/>
          <w:sz w:val="24"/>
          <w:szCs w:val="24"/>
        </w:rPr>
      </w:pPr>
      <w:r w:rsidRPr="005D78C4">
        <w:rPr>
          <w:rFonts w:ascii="Times New Roman" w:hAnsi="Times New Roman"/>
          <w:sz w:val="24"/>
          <w:szCs w:val="24"/>
        </w:rPr>
        <w:t>- за нарушение на забраната за нелоялно привличане на клиенти по чл. 36 от ЗЗК – в общ размер от 579 120 лв.;</w:t>
      </w:r>
    </w:p>
    <w:p w14:paraId="2DF57F48" w14:textId="77777777" w:rsidR="00E6002D" w:rsidRPr="005D78C4" w:rsidRDefault="00E6002D" w:rsidP="00DB66D9">
      <w:pPr>
        <w:spacing w:after="40" w:line="264" w:lineRule="auto"/>
        <w:ind w:firstLine="709"/>
        <w:jc w:val="both"/>
        <w:rPr>
          <w:rFonts w:ascii="Times New Roman" w:hAnsi="Times New Roman"/>
          <w:sz w:val="24"/>
          <w:szCs w:val="24"/>
        </w:rPr>
      </w:pPr>
      <w:r w:rsidRPr="005D78C4">
        <w:rPr>
          <w:rFonts w:ascii="Times New Roman" w:hAnsi="Times New Roman"/>
          <w:sz w:val="24"/>
          <w:szCs w:val="24"/>
        </w:rPr>
        <w:t>- за нарушение на забраната за нелоялни търговски практики по чл. 37б от ЗЗК – в общ размер от 500 000 лв.;</w:t>
      </w:r>
    </w:p>
    <w:p w14:paraId="3E20C413" w14:textId="45B201F5" w:rsidR="00E6002D" w:rsidRPr="005D78C4" w:rsidRDefault="00E6002D" w:rsidP="00DB66D9">
      <w:pPr>
        <w:spacing w:after="40" w:line="264" w:lineRule="auto"/>
        <w:ind w:firstLine="709"/>
        <w:jc w:val="both"/>
        <w:rPr>
          <w:rFonts w:ascii="Times New Roman" w:hAnsi="Times New Roman"/>
          <w:sz w:val="24"/>
          <w:szCs w:val="24"/>
        </w:rPr>
      </w:pPr>
      <w:r w:rsidRPr="005D78C4">
        <w:rPr>
          <w:rFonts w:ascii="Times New Roman" w:hAnsi="Times New Roman"/>
          <w:sz w:val="24"/>
          <w:szCs w:val="24"/>
        </w:rPr>
        <w:t>- за нарушение на физически лица, които извършват или съдействат за извършване на нарушения на ЗЗК - в общ размер 15 000 лв.</w:t>
      </w:r>
    </w:p>
    <w:p w14:paraId="52F5EFD7" w14:textId="77777777" w:rsidR="00F92718" w:rsidRPr="005D78C4" w:rsidRDefault="00F92718" w:rsidP="00F92718">
      <w:pPr>
        <w:spacing w:after="40" w:line="264" w:lineRule="auto"/>
        <w:ind w:firstLine="709"/>
        <w:jc w:val="both"/>
        <w:rPr>
          <w:rFonts w:ascii="Times New Roman" w:eastAsia="Calibri" w:hAnsi="Times New Roman" w:cs="Times New Roman"/>
          <w:sz w:val="24"/>
          <w:szCs w:val="24"/>
          <w:lang w:eastAsia="bg-BG"/>
        </w:rPr>
      </w:pPr>
      <w:r w:rsidRPr="005D78C4">
        <w:rPr>
          <w:rFonts w:ascii="Times New Roman" w:eastAsia="Calibri" w:hAnsi="Times New Roman" w:cs="Times New Roman"/>
          <w:sz w:val="24"/>
          <w:szCs w:val="24"/>
          <w:lang w:eastAsia="bg-BG"/>
        </w:rPr>
        <w:t>Същевременно след избора на новия състав на Комисията дейността се интензифицира, като макар и след отчетния период ще отбележим наложената една санкция на голяма търговска верига в размер на 405 936 лв.</w:t>
      </w:r>
    </w:p>
    <w:p w14:paraId="5901E680" w14:textId="77777777" w:rsidR="00F92718" w:rsidRPr="005D78C4" w:rsidRDefault="00F92718" w:rsidP="00DB66D9">
      <w:pPr>
        <w:spacing w:after="40" w:line="264" w:lineRule="auto"/>
        <w:ind w:firstLine="709"/>
        <w:jc w:val="both"/>
        <w:rPr>
          <w:rFonts w:ascii="Times New Roman" w:hAnsi="Times New Roman"/>
          <w:sz w:val="24"/>
          <w:szCs w:val="24"/>
        </w:rPr>
      </w:pPr>
    </w:p>
    <w:p w14:paraId="42D7086F" w14:textId="7DD21C6E" w:rsidR="00240A33" w:rsidRPr="005D78C4" w:rsidRDefault="00036F2A" w:rsidP="00DB66D9">
      <w:pPr>
        <w:spacing w:after="40" w:line="264" w:lineRule="auto"/>
        <w:ind w:firstLine="709"/>
        <w:jc w:val="both"/>
        <w:rPr>
          <w:rFonts w:ascii="Times New Roman" w:hAnsi="Times New Roman" w:cs="Times New Roman"/>
          <w:b/>
          <w:sz w:val="24"/>
          <w:szCs w:val="24"/>
        </w:rPr>
      </w:pPr>
      <w:r w:rsidRPr="005D78C4">
        <w:rPr>
          <w:rFonts w:ascii="Times New Roman" w:hAnsi="Times New Roman" w:cs="Times New Roman"/>
          <w:b/>
          <w:sz w:val="24"/>
          <w:szCs w:val="24"/>
        </w:rPr>
        <w:t xml:space="preserve">- </w:t>
      </w:r>
      <w:r w:rsidR="00240A33" w:rsidRPr="005D78C4">
        <w:rPr>
          <w:rFonts w:ascii="Times New Roman" w:hAnsi="Times New Roman" w:cs="Times New Roman"/>
          <w:b/>
          <w:sz w:val="24"/>
          <w:szCs w:val="24"/>
        </w:rPr>
        <w:t xml:space="preserve"> </w:t>
      </w:r>
      <w:r w:rsidR="008E52EE" w:rsidRPr="005D78C4">
        <w:rPr>
          <w:rFonts w:ascii="Times New Roman" w:hAnsi="Times New Roman" w:cs="Times New Roman"/>
          <w:b/>
          <w:sz w:val="24"/>
          <w:szCs w:val="24"/>
        </w:rPr>
        <w:t xml:space="preserve">   </w:t>
      </w:r>
      <w:r w:rsidR="00240A33" w:rsidRPr="005D78C4">
        <w:rPr>
          <w:rFonts w:ascii="Times New Roman" w:hAnsi="Times New Roman" w:cs="Times New Roman"/>
          <w:b/>
          <w:sz w:val="24"/>
          <w:szCs w:val="24"/>
        </w:rPr>
        <w:t>Най-чести нарушения</w:t>
      </w:r>
    </w:p>
    <w:p w14:paraId="1B31B8C7" w14:textId="758FCE99" w:rsidR="00E6002D" w:rsidRPr="005D78C4" w:rsidRDefault="00E6002D" w:rsidP="00DB66D9">
      <w:pPr>
        <w:spacing w:after="40" w:line="264" w:lineRule="auto"/>
        <w:ind w:firstLine="709"/>
        <w:jc w:val="both"/>
        <w:rPr>
          <w:rFonts w:ascii="Times New Roman" w:eastAsia="Calibri" w:hAnsi="Times New Roman" w:cs="Times New Roman"/>
          <w:sz w:val="24"/>
          <w:szCs w:val="24"/>
        </w:rPr>
      </w:pPr>
      <w:r w:rsidRPr="005D78C4">
        <w:rPr>
          <w:rFonts w:ascii="Times New Roman" w:eastAsia="Calibri" w:hAnsi="Times New Roman" w:cs="Times New Roman"/>
          <w:sz w:val="24"/>
          <w:szCs w:val="24"/>
        </w:rPr>
        <w:t>Най-честите нарушения в областта на нелоялната конкуренция, установени през първата половина на 2025 г., са свързани с нарушения по чл. 31 от ЗЗК (забрана за въвеждане в заблуждение относно съществени характеристики на стоките или услугите или начина на тяхното предлагане), следвани от нарушения по чл. 36, ал. 1 от ЗЗК (нелоялно привличане на клиенти с прекратяване или нарушаване на договори) и по чл. 37б от ЗЗК (забранени търговски практики).</w:t>
      </w:r>
    </w:p>
    <w:p w14:paraId="5D8A6F6A" w14:textId="388CC06D" w:rsidR="00E6002D" w:rsidRPr="005D78C4" w:rsidRDefault="00E6002D" w:rsidP="00DB66D9">
      <w:pPr>
        <w:spacing w:after="40" w:line="264" w:lineRule="auto"/>
        <w:ind w:firstLine="709"/>
        <w:jc w:val="both"/>
        <w:rPr>
          <w:rFonts w:ascii="Times New Roman" w:eastAsia="Calibri" w:hAnsi="Times New Roman" w:cs="Times New Roman"/>
          <w:sz w:val="24"/>
          <w:szCs w:val="24"/>
        </w:rPr>
      </w:pPr>
      <w:r w:rsidRPr="005D78C4">
        <w:rPr>
          <w:rFonts w:ascii="Times New Roman" w:eastAsia="Calibri" w:hAnsi="Times New Roman" w:cs="Times New Roman"/>
          <w:sz w:val="24"/>
          <w:szCs w:val="24"/>
        </w:rPr>
        <w:t>За първата половина на 202</w:t>
      </w:r>
      <w:r w:rsidRPr="005D78C4">
        <w:rPr>
          <w:rFonts w:ascii="Times New Roman" w:eastAsia="Calibri" w:hAnsi="Times New Roman" w:cs="Times New Roman"/>
          <w:sz w:val="24"/>
          <w:szCs w:val="24"/>
          <w:lang w:val="ru-RU"/>
        </w:rPr>
        <w:t>5</w:t>
      </w:r>
      <w:r w:rsidRPr="005D78C4">
        <w:rPr>
          <w:rFonts w:ascii="Times New Roman" w:eastAsia="Calibri" w:hAnsi="Times New Roman" w:cs="Times New Roman"/>
          <w:sz w:val="24"/>
          <w:szCs w:val="24"/>
        </w:rPr>
        <w:t xml:space="preserve"> г. Комисията с </w:t>
      </w:r>
      <w:r w:rsidRPr="005D78C4">
        <w:rPr>
          <w:rFonts w:ascii="Times New Roman" w:eastAsia="Calibri" w:hAnsi="Times New Roman" w:cs="Times New Roman"/>
          <w:sz w:val="24"/>
          <w:szCs w:val="24"/>
          <w:lang w:val="ru-RU"/>
        </w:rPr>
        <w:t>2</w:t>
      </w:r>
      <w:r w:rsidRPr="005D78C4">
        <w:rPr>
          <w:rFonts w:ascii="Times New Roman" w:eastAsia="Calibri" w:hAnsi="Times New Roman" w:cs="Times New Roman"/>
          <w:sz w:val="24"/>
          <w:szCs w:val="24"/>
        </w:rPr>
        <w:t xml:space="preserve"> разпореждания отказва образуване на производство по постъпили искания за установяване на извършени нарушения по глава седма от ЗЗК.</w:t>
      </w:r>
    </w:p>
    <w:p w14:paraId="6A6BD42D" w14:textId="5A595E36" w:rsidR="006646D4" w:rsidRPr="005D78C4" w:rsidRDefault="006646D4" w:rsidP="00DB66D9">
      <w:pPr>
        <w:spacing w:after="40" w:line="264" w:lineRule="auto"/>
        <w:jc w:val="both"/>
        <w:rPr>
          <w:rFonts w:ascii="Times New Roman" w:hAnsi="Times New Roman" w:cs="Times New Roman"/>
        </w:rPr>
      </w:pPr>
    </w:p>
    <w:p w14:paraId="31802937" w14:textId="77777777" w:rsidR="00697B32" w:rsidRPr="005D78C4" w:rsidRDefault="00697B32" w:rsidP="00DB66D9">
      <w:pPr>
        <w:spacing w:after="40" w:line="264" w:lineRule="auto"/>
        <w:jc w:val="both"/>
        <w:rPr>
          <w:rFonts w:ascii="Times New Roman" w:hAnsi="Times New Roman" w:cs="Times New Roman"/>
        </w:rPr>
      </w:pPr>
    </w:p>
    <w:p w14:paraId="1E0D2864" w14:textId="4E813F2F" w:rsidR="00432A42" w:rsidRPr="005D78C4" w:rsidRDefault="00A42C88" w:rsidP="00DB66D9">
      <w:pPr>
        <w:pStyle w:val="ListParagraph"/>
        <w:numPr>
          <w:ilvl w:val="0"/>
          <w:numId w:val="6"/>
        </w:numPr>
        <w:spacing w:after="40" w:line="264" w:lineRule="auto"/>
        <w:ind w:left="0" w:firstLine="360"/>
        <w:jc w:val="both"/>
        <w:rPr>
          <w:rFonts w:ascii="Times New Roman" w:hAnsi="Times New Roman" w:cs="Times New Roman"/>
          <w:b/>
        </w:rPr>
      </w:pPr>
      <w:r w:rsidRPr="005D78C4">
        <w:rPr>
          <w:rFonts w:ascii="Times New Roman" w:hAnsi="Times New Roman" w:cs="Times New Roman"/>
          <w:b/>
        </w:rPr>
        <w:t xml:space="preserve"> </w:t>
      </w:r>
      <w:r w:rsidR="00C233D6" w:rsidRPr="005D78C4">
        <w:rPr>
          <w:rFonts w:ascii="Times New Roman" w:hAnsi="Times New Roman" w:cs="Times New Roman"/>
          <w:b/>
        </w:rPr>
        <w:t>Разработване и провеждане на политика по защита на конкуренцията по европейски стандарт, изготвяне на нормативни актове, становища, приемане на единни п</w:t>
      </w:r>
      <w:r w:rsidR="006646D4" w:rsidRPr="005D78C4">
        <w:rPr>
          <w:rFonts w:ascii="Times New Roman" w:hAnsi="Times New Roman" w:cs="Times New Roman"/>
          <w:b/>
        </w:rPr>
        <w:t>озиции и други</w:t>
      </w:r>
      <w:r w:rsidR="00B21CAC" w:rsidRPr="005D78C4">
        <w:rPr>
          <w:rFonts w:ascii="Times New Roman" w:hAnsi="Times New Roman" w:cs="Times New Roman"/>
          <w:b/>
        </w:rPr>
        <w:t>:</w:t>
      </w:r>
    </w:p>
    <w:p w14:paraId="4F61D7B9" w14:textId="77777777" w:rsidR="00A17B17" w:rsidRPr="005D78C4" w:rsidRDefault="00A17B17" w:rsidP="00DB66D9">
      <w:pPr>
        <w:pStyle w:val="ListParagraph"/>
        <w:spacing w:after="40" w:line="264" w:lineRule="auto"/>
        <w:ind w:left="360"/>
        <w:jc w:val="both"/>
        <w:rPr>
          <w:rFonts w:ascii="Times New Roman" w:hAnsi="Times New Roman" w:cs="Times New Roman"/>
          <w:b/>
        </w:rPr>
      </w:pPr>
    </w:p>
    <w:p w14:paraId="2BC0D8E6" w14:textId="77777777" w:rsidR="00DD2BCF" w:rsidRPr="005D78C4" w:rsidRDefault="00DD2BCF" w:rsidP="00DB66D9">
      <w:pPr>
        <w:numPr>
          <w:ilvl w:val="0"/>
          <w:numId w:val="9"/>
        </w:numPr>
        <w:spacing w:after="40" w:line="264" w:lineRule="auto"/>
        <w:ind w:left="1134" w:hanging="425"/>
        <w:jc w:val="both"/>
        <w:rPr>
          <w:rFonts w:ascii="Times New Roman" w:hAnsi="Times New Roman" w:cs="Times New Roman"/>
          <w:sz w:val="24"/>
          <w:szCs w:val="24"/>
        </w:rPr>
      </w:pPr>
      <w:r w:rsidRPr="005D78C4">
        <w:rPr>
          <w:rFonts w:ascii="Times New Roman" w:hAnsi="Times New Roman" w:cs="Times New Roman"/>
          <w:b/>
          <w:sz w:val="24"/>
          <w:szCs w:val="24"/>
        </w:rPr>
        <w:t>Застъпничество за конкуренцията</w:t>
      </w:r>
    </w:p>
    <w:p w14:paraId="01CBB3D7" w14:textId="77777777" w:rsidR="00632B63" w:rsidRPr="005D78C4" w:rsidRDefault="00632B63" w:rsidP="00DB66D9">
      <w:pPr>
        <w:spacing w:after="40" w:line="264" w:lineRule="auto"/>
        <w:ind w:firstLine="708"/>
        <w:jc w:val="both"/>
        <w:rPr>
          <w:rFonts w:ascii="Times New Roman" w:eastAsia="Calibri" w:hAnsi="Times New Roman" w:cs="Times New Roman"/>
          <w:sz w:val="24"/>
          <w:szCs w:val="24"/>
          <w:lang w:eastAsia="bg-BG"/>
        </w:rPr>
      </w:pPr>
      <w:r w:rsidRPr="005D78C4">
        <w:rPr>
          <w:rFonts w:ascii="Times New Roman" w:eastAsia="Calibri" w:hAnsi="Times New Roman" w:cs="Times New Roman"/>
          <w:sz w:val="24"/>
          <w:szCs w:val="24"/>
        </w:rPr>
        <w:t>Застъпничеството за конкуренцията се възприема като един от ефективните инструменти за секторно проучване и за идентифициране на проблеми по отношение на конкуренцията. Динамиката на икономическия живот налага да бъдат преразгледани някои действащи норми или да бъде отчетено спазването на правилата за конкуренция при изработването на нови разпоредби. Становищата, които Комисията приема в рамките на своето правомощие по застъпничество, имат препоръчителен характер и не постигат пряка намеса в поведението на пазарните участници. Въпреки това чрез становищата могат да бъдат идентифицирани конкретни норми или актове, които могат да повлияят негативно върху</w:t>
      </w:r>
      <w:r w:rsidRPr="005D78C4">
        <w:rPr>
          <w:rFonts w:ascii="Times New Roman" w:eastAsia="Calibri" w:hAnsi="Times New Roman" w:cs="Times New Roman"/>
          <w:sz w:val="24"/>
          <w:szCs w:val="24"/>
          <w:lang w:eastAsia="bg-BG"/>
        </w:rPr>
        <w:t xml:space="preserve"> конкуренцията. </w:t>
      </w:r>
    </w:p>
    <w:p w14:paraId="7EBEE0D2" w14:textId="77777777" w:rsidR="00632B63" w:rsidRPr="005D78C4" w:rsidRDefault="00632B63" w:rsidP="00DB66D9">
      <w:pPr>
        <w:spacing w:after="40" w:line="264" w:lineRule="auto"/>
        <w:ind w:firstLine="708"/>
        <w:jc w:val="both"/>
        <w:rPr>
          <w:rFonts w:ascii="Times New Roman" w:eastAsia="Calibri" w:hAnsi="Times New Roman" w:cs="Times New Roman"/>
          <w:sz w:val="24"/>
          <w:szCs w:val="24"/>
        </w:rPr>
      </w:pPr>
      <w:r w:rsidRPr="005D78C4">
        <w:rPr>
          <w:rFonts w:ascii="Times New Roman" w:eastAsia="Calibri" w:hAnsi="Times New Roman" w:cs="Times New Roman"/>
          <w:sz w:val="24"/>
          <w:szCs w:val="24"/>
        </w:rPr>
        <w:lastRenderedPageBreak/>
        <w:t xml:space="preserve">Съгласно чл. 28 от ЗЗК, за да защити свободната инициатива в стопанската дейност и да предотврати ограничаването или нарушаването на конкуренцията, КЗК извършва </w:t>
      </w:r>
      <w:r w:rsidRPr="005D78C4">
        <w:rPr>
          <w:rFonts w:ascii="Times New Roman" w:eastAsia="Calibri" w:hAnsi="Times New Roman" w:cs="Times New Roman"/>
          <w:b/>
          <w:sz w:val="24"/>
          <w:szCs w:val="24"/>
        </w:rPr>
        <w:t>оценка за съответствието с разпоредбите на ЗЗК</w:t>
      </w:r>
      <w:r w:rsidRPr="005D78C4">
        <w:rPr>
          <w:rFonts w:ascii="Times New Roman" w:eastAsia="Calibri" w:hAnsi="Times New Roman" w:cs="Times New Roman"/>
          <w:sz w:val="24"/>
          <w:szCs w:val="24"/>
        </w:rPr>
        <w:t xml:space="preserve"> на проекти на нормативни или нормативни административни и общи административни актове; действащи нормативни или нормативни административни и общи административни актове; проекти на актове на сдружения на предприятия, които регулират дейността на членовете им.</w:t>
      </w:r>
    </w:p>
    <w:p w14:paraId="78F37AAC" w14:textId="77777777" w:rsidR="00632B63" w:rsidRPr="005D78C4" w:rsidRDefault="00632B63" w:rsidP="00DB66D9">
      <w:pPr>
        <w:spacing w:after="40" w:line="264" w:lineRule="auto"/>
        <w:ind w:firstLine="708"/>
        <w:jc w:val="both"/>
        <w:rPr>
          <w:rFonts w:ascii="Times New Roman" w:eastAsia="Calibri" w:hAnsi="Times New Roman" w:cs="Times New Roman"/>
          <w:sz w:val="24"/>
          <w:szCs w:val="24"/>
        </w:rPr>
      </w:pPr>
      <w:r w:rsidRPr="005D78C4">
        <w:rPr>
          <w:rFonts w:ascii="Times New Roman" w:eastAsia="Calibri" w:hAnsi="Times New Roman" w:cs="Times New Roman"/>
          <w:sz w:val="24"/>
          <w:szCs w:val="24"/>
        </w:rPr>
        <w:t xml:space="preserve">Във връзка с правомощията на КЗК по застъпничество за конкуренцията съгласно чл. 28 от ЗЗК през първата половина на 2025 г. са образувани </w:t>
      </w:r>
      <w:r w:rsidRPr="005D78C4">
        <w:rPr>
          <w:rFonts w:ascii="Times New Roman" w:eastAsia="Calibri" w:hAnsi="Times New Roman" w:cs="Times New Roman"/>
          <w:b/>
          <w:sz w:val="24"/>
          <w:szCs w:val="24"/>
        </w:rPr>
        <w:t>3 производства</w:t>
      </w:r>
      <w:r w:rsidRPr="005D78C4">
        <w:rPr>
          <w:rFonts w:ascii="Times New Roman" w:eastAsia="Calibri" w:hAnsi="Times New Roman" w:cs="Times New Roman"/>
          <w:sz w:val="24"/>
          <w:szCs w:val="24"/>
        </w:rPr>
        <w:t xml:space="preserve">. </w:t>
      </w:r>
    </w:p>
    <w:p w14:paraId="2FB60B80" w14:textId="77777777" w:rsidR="00632B63" w:rsidRPr="005D78C4" w:rsidRDefault="00632B63" w:rsidP="00DB66D9">
      <w:pPr>
        <w:spacing w:after="40" w:line="264" w:lineRule="auto"/>
        <w:ind w:firstLine="708"/>
        <w:jc w:val="both"/>
        <w:rPr>
          <w:rFonts w:ascii="Times New Roman" w:eastAsia="Calibri" w:hAnsi="Times New Roman" w:cs="Times New Roman"/>
          <w:sz w:val="24"/>
          <w:szCs w:val="24"/>
        </w:rPr>
      </w:pPr>
      <w:r w:rsidRPr="005D78C4">
        <w:rPr>
          <w:rFonts w:ascii="Times New Roman" w:eastAsia="Calibri" w:hAnsi="Times New Roman" w:cs="Times New Roman"/>
          <w:sz w:val="24"/>
          <w:szCs w:val="24"/>
        </w:rPr>
        <w:t xml:space="preserve">През този период Комисията е постановила </w:t>
      </w:r>
      <w:r w:rsidRPr="005D78C4">
        <w:rPr>
          <w:rFonts w:ascii="Times New Roman" w:eastAsia="Calibri" w:hAnsi="Times New Roman" w:cs="Times New Roman"/>
          <w:b/>
          <w:sz w:val="24"/>
          <w:szCs w:val="24"/>
        </w:rPr>
        <w:t>4 решения</w:t>
      </w:r>
      <w:r w:rsidRPr="005D78C4">
        <w:rPr>
          <w:rFonts w:ascii="Times New Roman" w:eastAsia="Calibri" w:hAnsi="Times New Roman" w:cs="Times New Roman"/>
          <w:sz w:val="24"/>
          <w:szCs w:val="24"/>
        </w:rPr>
        <w:t>,</w:t>
      </w:r>
      <w:r w:rsidRPr="005D78C4">
        <w:rPr>
          <w:rFonts w:ascii="Times New Roman" w:eastAsia="Calibri" w:hAnsi="Times New Roman" w:cs="Times New Roman"/>
          <w:b/>
          <w:sz w:val="24"/>
          <w:szCs w:val="24"/>
        </w:rPr>
        <w:t xml:space="preserve"> </w:t>
      </w:r>
      <w:r w:rsidRPr="005D78C4">
        <w:rPr>
          <w:rFonts w:ascii="Times New Roman" w:eastAsia="Calibri" w:hAnsi="Times New Roman" w:cs="Times New Roman"/>
          <w:sz w:val="24"/>
          <w:szCs w:val="24"/>
        </w:rPr>
        <w:t>с които са приети становища по проекти или действащи нормативни или административни актове и установяващи наличието или липсата на противоречие с правилата на конкуренция.</w:t>
      </w:r>
    </w:p>
    <w:p w14:paraId="75E40BFB" w14:textId="77777777" w:rsidR="00632B63" w:rsidRPr="005D78C4" w:rsidRDefault="00632B63" w:rsidP="00DB66D9">
      <w:pPr>
        <w:spacing w:after="40" w:line="264" w:lineRule="auto"/>
        <w:ind w:firstLine="708"/>
        <w:jc w:val="both"/>
        <w:rPr>
          <w:rFonts w:ascii="Times New Roman" w:eastAsia="Calibri" w:hAnsi="Times New Roman" w:cs="Times New Roman"/>
          <w:sz w:val="24"/>
          <w:szCs w:val="24"/>
        </w:rPr>
      </w:pPr>
      <w:r w:rsidRPr="005D78C4">
        <w:rPr>
          <w:rFonts w:ascii="Times New Roman" w:eastAsia="Calibri" w:hAnsi="Times New Roman" w:cs="Times New Roman"/>
          <w:sz w:val="24"/>
          <w:szCs w:val="24"/>
        </w:rPr>
        <w:t>Приетите от КЗК през първите шест месеца на 2025 г. становища бяха свързани с произнасяне по искане на държавен орган по проект на негов годишен доклад, с оценка на Условията за кандидатстване за използването на мобилни мрежи при изграждането на цифровата инфраструктура, с оценка на нормативната уредба, регулираща ваучерите за храна на електронен носител, както и едно становище по искане на Конституционния съд на Република България. Така например КЗК се самосезира във връзка с публикации в медиите, че нормативната уредба, регулираща ваучерите за храна на електронен носител води до ограничения за конкуренцията. В резултат на извършено проучване и оценка на действащите разпоредби Комисията установи, че тези разпоредби не водят до намаляване на броя на търговците на дребно, участващи в системата на ваучери за храна и съответно не създава ограничение на конкуренцията. По-високите трансакционни разходи за търговците на дребно при електронните ваучери се компенсират от отпадането на редица разходи, свързани с обработката на хартиените ваучери, както и от по-бързото превеждане на сумите от операторите на ваучерите към търговците на дребно. Освен това, след преминаването към електронни ваучери броят на търговските обекти, които приемат ваучери се увеличава, което показва, че условията не са неизгодни за търговците на дребно.</w:t>
      </w:r>
      <w:r w:rsidRPr="005D78C4">
        <w:rPr>
          <w:rFonts w:ascii="Times New Roman" w:eastAsia="Calibri" w:hAnsi="Times New Roman" w:cs="Times New Roman"/>
          <w:b/>
          <w:sz w:val="24"/>
          <w:szCs w:val="24"/>
        </w:rPr>
        <w:t xml:space="preserve"> </w:t>
      </w:r>
      <w:r w:rsidRPr="005D78C4">
        <w:rPr>
          <w:rFonts w:ascii="Times New Roman" w:eastAsia="Calibri" w:hAnsi="Times New Roman" w:cs="Times New Roman"/>
          <w:sz w:val="24"/>
          <w:szCs w:val="24"/>
        </w:rPr>
        <w:t xml:space="preserve"> </w:t>
      </w:r>
    </w:p>
    <w:p w14:paraId="48AC9E42" w14:textId="77777777" w:rsidR="00632B63" w:rsidRPr="005D78C4" w:rsidRDefault="00632B63" w:rsidP="00DB66D9">
      <w:pPr>
        <w:spacing w:after="40" w:line="264" w:lineRule="auto"/>
        <w:ind w:firstLine="708"/>
        <w:jc w:val="both"/>
        <w:rPr>
          <w:rFonts w:ascii="Times New Roman" w:eastAsia="Calibri" w:hAnsi="Times New Roman" w:cs="Times New Roman"/>
          <w:sz w:val="24"/>
          <w:szCs w:val="24"/>
        </w:rPr>
      </w:pPr>
      <w:r w:rsidRPr="005D78C4">
        <w:rPr>
          <w:rFonts w:ascii="Times New Roman" w:eastAsia="Calibri" w:hAnsi="Times New Roman" w:cs="Times New Roman"/>
          <w:sz w:val="24"/>
          <w:szCs w:val="24"/>
        </w:rPr>
        <w:t>С Решение на КЗК № 1777/20.12.2011 г. Комисията е приела „Насоки за оценка за съответствието на нормативни и общи административни актове с правилата на конкуренция”. Целта на Насоките е да подпомогнат държавните органи, включително органите на изпълнителната власт и на местното самоуправление, още при подготовката на регулаторна рамка да идентифицират възможните антиконкурентни въздействия. Насоките представят критерии, чрез които може лесно да се прецени дали проектът на нормативен акт би могъл да доведе до ограничаване на конкуренцията чрез контролен списък за първоначална оценка на възможните ограничения на конкуренцията, разделени в 4 основни групи под формата на въпроси. В същото време Насоките биха могли да послужат като ориентир и за лицата, които считат, че техните интереси са засегнати от актове, издадени в противоречие с правилата на конкуренцията.</w:t>
      </w:r>
    </w:p>
    <w:p w14:paraId="419A2D2F" w14:textId="07F5AC1E" w:rsidR="00632B63" w:rsidRPr="005D78C4" w:rsidRDefault="00632B63" w:rsidP="00D542EB">
      <w:pPr>
        <w:spacing w:after="40" w:line="264" w:lineRule="auto"/>
        <w:ind w:firstLine="709"/>
        <w:jc w:val="both"/>
        <w:rPr>
          <w:rFonts w:ascii="Times New Roman" w:hAnsi="Times New Roman" w:cs="Times New Roman"/>
          <w:b/>
          <w:sz w:val="24"/>
          <w:szCs w:val="24"/>
        </w:rPr>
      </w:pPr>
      <w:r w:rsidRPr="005D78C4">
        <w:rPr>
          <w:rFonts w:ascii="Times New Roman" w:hAnsi="Times New Roman" w:cs="Times New Roman"/>
          <w:b/>
          <w:sz w:val="24"/>
          <w:szCs w:val="24"/>
        </w:rPr>
        <w:t>Решение  № 42/16.01.2025</w:t>
      </w:r>
      <w:r w:rsidR="00D542EB" w:rsidRPr="005D78C4">
        <w:rPr>
          <w:rFonts w:ascii="Times New Roman" w:hAnsi="Times New Roman" w:cs="Times New Roman"/>
          <w:b/>
          <w:sz w:val="24"/>
          <w:szCs w:val="24"/>
        </w:rPr>
        <w:t xml:space="preserve"> </w:t>
      </w:r>
      <w:r w:rsidRPr="005D78C4">
        <w:rPr>
          <w:rFonts w:ascii="Times New Roman" w:hAnsi="Times New Roman" w:cs="Times New Roman"/>
          <w:b/>
          <w:sz w:val="24"/>
          <w:szCs w:val="24"/>
        </w:rPr>
        <w:t>г.</w:t>
      </w:r>
      <w:r w:rsidR="00D542EB" w:rsidRPr="005D78C4">
        <w:rPr>
          <w:rFonts w:ascii="Times New Roman" w:hAnsi="Times New Roman" w:cs="Times New Roman"/>
          <w:b/>
          <w:sz w:val="24"/>
          <w:szCs w:val="24"/>
        </w:rPr>
        <w:t xml:space="preserve"> </w:t>
      </w:r>
      <w:r w:rsidRPr="005D78C4">
        <w:rPr>
          <w:rFonts w:ascii="Times New Roman" w:hAnsi="Times New Roman" w:cs="Times New Roman"/>
          <w:sz w:val="24"/>
          <w:szCs w:val="24"/>
        </w:rPr>
        <w:t xml:space="preserve">е по повод на Конституционно дело № 32/2024 г., образувано по искане на тричленен състав на Трето отделение на Върховния административен съд (ВАС), Първа колегия, за установяване на противоконституционност на разпоредбите на чл. 55, ал. 2, т. 3б и т. 3в от Закона за здравното осигуряване (ЗЗО)1 поради противоречието им с чл. 4, ал. 1, чл. 19, ал. 1 и ал. 3 и чл. 52, ал. 1 и ал. 2 от Конституцията на Република България. Предмет на оспорване пред Конституционния съд са разпоредбите на чл. 55, ал. 2, т. 3б и т.3в от ЗЗО, които </w:t>
      </w:r>
      <w:r w:rsidRPr="005D78C4">
        <w:rPr>
          <w:rFonts w:ascii="Times New Roman" w:hAnsi="Times New Roman" w:cs="Times New Roman"/>
          <w:sz w:val="24"/>
          <w:szCs w:val="24"/>
        </w:rPr>
        <w:lastRenderedPageBreak/>
        <w:t>засягат лечебните заведения за болнична помощ. Според ВАС посочените разпоредби не съдържат ясни критерии за определяне на това, кои райони са отдалечени  и създават неравностойно положение между болници, като част от тях получават държавно подпомагане без обосновани критерии.</w:t>
      </w:r>
    </w:p>
    <w:p w14:paraId="52C43CDD" w14:textId="77777777" w:rsidR="00632B63" w:rsidRPr="005D78C4" w:rsidRDefault="00632B63" w:rsidP="00DB66D9">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 xml:space="preserve"> В своето становище по застъпничество Комисията е посочила на първо място, че националната здравноосигурителна каса (НЗОК) не е предприятие, а публичен орган с властнически функции, който не осъществява стопанска дейност. Дейността на НЗОК по осъществяване на задължителното здравно осигуряване в страната не може да бъде определена като „стопанска дейност”, а НЗОК като „предприятие“ по смисъла на правото на конкуренцията приложимо в България (чл. 101 и чл. 102 от ДФЕС и чл. 15 и чл. 21 от ЗЗК).  </w:t>
      </w:r>
    </w:p>
    <w:p w14:paraId="4D5FCD7D" w14:textId="77777777" w:rsidR="00632B63" w:rsidRPr="005D78C4" w:rsidRDefault="00632B63" w:rsidP="00DB66D9">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Болниците обаче извършват стопанска дейност, дори когато са финансирани от НЗОК, защото получават средства според броя лекувани пациенти, нямат гарантирани приходи  и всяка болница в България носи финансовия риск от дейността си при  предоставяне на болнични услуги, няма правни ограничения относно собствеността на лечебните заведения, които могат да сключат договор с касата.</w:t>
      </w:r>
    </w:p>
    <w:p w14:paraId="6F5B2121" w14:textId="661E5813" w:rsidR="00632B63" w:rsidRPr="005D78C4" w:rsidRDefault="00632B63" w:rsidP="00DB66D9">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Според КЗК медицинските услуги, заплащани от НЗОК, са част от конкурентен пазар,</w:t>
      </w:r>
      <w:r w:rsidR="0026348A" w:rsidRPr="005D78C4">
        <w:rPr>
          <w:rFonts w:ascii="Times New Roman" w:hAnsi="Times New Roman" w:cs="Times New Roman"/>
          <w:sz w:val="24"/>
          <w:szCs w:val="24"/>
        </w:rPr>
        <w:t xml:space="preserve"> </w:t>
      </w:r>
      <w:r w:rsidRPr="005D78C4">
        <w:rPr>
          <w:rFonts w:ascii="Times New Roman" w:hAnsi="Times New Roman" w:cs="Times New Roman"/>
          <w:sz w:val="24"/>
          <w:szCs w:val="24"/>
        </w:rPr>
        <w:t xml:space="preserve">тъй като представляват стопанска дейност, поради това, че  здравноосигурителната система обхваща и включва недискриминационно болници с различен вид собственост, няма ограничения за броя болници, които могат да сключат договор с НЗОК, заплащането от НЗОК е по фиксирани цени на база брой лекувани пациенти, при спазени минимални изисквания за качество, заложени в нормативната уредба и договорите с касата. Болници, които осъществяват стопанска дейност чрез договори с НЗОК, попадат в обхвата на понятието „предприятие“ и съответно спрямо тях се прилагат правилата на конкуренция. </w:t>
      </w:r>
    </w:p>
    <w:p w14:paraId="1612DE56" w14:textId="77777777" w:rsidR="00632B63" w:rsidRPr="005D78C4" w:rsidRDefault="00632B63" w:rsidP="00DB66D9">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Предвид направените изводи от гледна точка на правилата на конкуренцията КЗК счита, че разпоредбите на чл. 55, ал. 2, т. 3б и т. 3в от ЗЗО влияят върху конкуренцията, тъй като въвеждат различни правила за заплащане. Фиксирането на цени (в случая на „цена“ на труда (работните заплати) на медицинските специалисти) се смята за едно от най- тежките нарушения на конкуренцията. Цитираните разпоредби предвиждат допълнително финансиране само за определени болници, с което могат да нарушат равнопоставеността между стопански субекти на пазара.</w:t>
      </w:r>
    </w:p>
    <w:p w14:paraId="6CE839B8" w14:textId="190BD5E8" w:rsidR="00632B63" w:rsidRPr="005D78C4" w:rsidRDefault="00632B63" w:rsidP="00DB66D9">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 xml:space="preserve">В заключение КЗК посочва, че разпоредбите на чл. 55, ал. 2, т. 3б и т. 3в от ЗЗО въздействат върху конкурентната среда и следва да бъдат внимателно оценени за съвместимост с правилата на конкуренцията, заложени както в националното, така и в европейското право. Комисията за защита на конкуренцията е на мнение, че болниците, сключили договор с НЗОК, са конкурентни предприятия, осъществяващи стопанска дейност и като такива попадат в обхвата на приложимостта на правилата по конкуренцията. Разпоредбата на чл. 55, ал. 2, т. 3б от ЗЗО, на практика установява минимални и максимални възнаграждения за медицинските специалисти в болниците, като условие за сключване на договор с НЗОК. Въвеждането в националното право на разпоредбите на чл. 55, ал. 2, т. 3б от ЗЗО и чл. 397, ал. 1 и 3 от Националния рамков договор за 2023-2025 г. представлява ограничение на конкуренцията по цел. Това ограничение на конкуренцията препятства дейността на болниците като стопански субекти, ограничава свободата им при осъществяване на стопанска дейност и е във вреда на гражданите в качеството им на пациенти. По този начин се влиза в противоречие с чл. </w:t>
      </w:r>
      <w:r w:rsidRPr="005D78C4">
        <w:rPr>
          <w:rFonts w:ascii="Times New Roman" w:hAnsi="Times New Roman" w:cs="Times New Roman"/>
          <w:sz w:val="24"/>
          <w:szCs w:val="24"/>
        </w:rPr>
        <w:lastRenderedPageBreak/>
        <w:t>19, ал.1 от Конституцията на Република България. Комисията за защита на конкуренцията предлага чл. 55, ал. 2, т. 3б от ЗЗО да бъде отменен.</w:t>
      </w:r>
    </w:p>
    <w:p w14:paraId="7619E352" w14:textId="77777777" w:rsidR="000058C3" w:rsidRPr="005D78C4" w:rsidRDefault="000058C3" w:rsidP="00DB66D9">
      <w:pPr>
        <w:spacing w:after="40" w:line="264" w:lineRule="auto"/>
        <w:ind w:firstLine="709"/>
        <w:jc w:val="both"/>
        <w:rPr>
          <w:rFonts w:ascii="Times New Roman" w:hAnsi="Times New Roman" w:cs="Times New Roman"/>
          <w:sz w:val="24"/>
          <w:szCs w:val="24"/>
        </w:rPr>
      </w:pPr>
    </w:p>
    <w:p w14:paraId="0A59384B" w14:textId="4CEF749A" w:rsidR="00632B63" w:rsidRPr="005D78C4" w:rsidRDefault="00632B63" w:rsidP="00DB66D9">
      <w:pPr>
        <w:pStyle w:val="ListParagraph"/>
        <w:numPr>
          <w:ilvl w:val="0"/>
          <w:numId w:val="9"/>
        </w:numPr>
        <w:spacing w:after="40" w:line="264" w:lineRule="auto"/>
        <w:ind w:left="1276" w:hanging="425"/>
        <w:jc w:val="both"/>
        <w:rPr>
          <w:rFonts w:ascii="Times New Roman" w:hAnsi="Times New Roman" w:cs="Times New Roman"/>
          <w:b/>
          <w:lang w:val="en-US"/>
        </w:rPr>
      </w:pPr>
      <w:r w:rsidRPr="005D78C4">
        <w:rPr>
          <w:rFonts w:ascii="Times New Roman" w:hAnsi="Times New Roman" w:cs="Times New Roman"/>
          <w:b/>
        </w:rPr>
        <w:t>Е</w:t>
      </w:r>
      <w:r w:rsidRPr="005D78C4">
        <w:rPr>
          <w:rFonts w:ascii="Times New Roman" w:hAnsi="Times New Roman" w:cs="Times New Roman"/>
          <w:b/>
          <w:lang w:val="en-US"/>
        </w:rPr>
        <w:t>вропейски въпроси</w:t>
      </w:r>
    </w:p>
    <w:p w14:paraId="1BD13D7C" w14:textId="0025C3B8" w:rsidR="00632B63" w:rsidRPr="005D78C4" w:rsidRDefault="00632B63" w:rsidP="00DB66D9">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Пълноправното членство на България в Европейския съюз (ЕС) изисква от КЗК активно да участва в прилагането на правилата на конкуренция на ЕС в сътрудничество с Европейската комисия (ЕК) и националните органи по конкуренция (НОК) на страните членки на ЕС. Сътрудничеството се осъществява главно в рамките на Европейската мрежа по конкуренция (ЕМК). Мрежата играе ключова роля при разпределяне на работата между националните органи, ЕК и съдилищата и гарантира непротиворечивото прилагане на правилата на конкуренция. Участието на КЗК в ЕМК означава постоянен обмен на информация с другите ведомства, който спомага за постигането и защитата на ефективната конкуренция в рамките на Вътрешния пазар на ЕС.</w:t>
      </w:r>
    </w:p>
    <w:p w14:paraId="7477422A" w14:textId="77777777" w:rsidR="000058C3" w:rsidRPr="005D78C4" w:rsidRDefault="00D803B0" w:rsidP="00DB66D9">
      <w:pPr>
        <w:pStyle w:val="ListParagraph"/>
        <w:numPr>
          <w:ilvl w:val="0"/>
          <w:numId w:val="9"/>
        </w:numPr>
        <w:tabs>
          <w:tab w:val="left" w:pos="1134"/>
        </w:tabs>
        <w:spacing w:after="40" w:line="264" w:lineRule="auto"/>
        <w:ind w:left="709" w:firstLine="0"/>
        <w:jc w:val="both"/>
        <w:rPr>
          <w:rFonts w:ascii="Times New Roman" w:eastAsia="Calibri" w:hAnsi="Times New Roman" w:cs="Times New Roman"/>
          <w:b/>
        </w:rPr>
      </w:pPr>
      <w:r w:rsidRPr="005D78C4">
        <w:rPr>
          <w:rFonts w:ascii="Times New Roman" w:eastAsia="Calibri" w:hAnsi="Times New Roman" w:cs="Times New Roman"/>
          <w:b/>
        </w:rPr>
        <w:t>Участие в Европейската мрежа по конкуренция</w:t>
      </w:r>
    </w:p>
    <w:p w14:paraId="023D324B" w14:textId="3550B688" w:rsidR="00632B63" w:rsidRPr="005D78C4" w:rsidRDefault="00632B63" w:rsidP="00DB66D9">
      <w:pPr>
        <w:pStyle w:val="ListParagraph"/>
        <w:tabs>
          <w:tab w:val="left" w:pos="1134"/>
        </w:tabs>
        <w:spacing w:after="40" w:line="264" w:lineRule="auto"/>
        <w:ind w:left="0" w:firstLine="709"/>
        <w:jc w:val="both"/>
        <w:rPr>
          <w:rFonts w:ascii="Times New Roman" w:eastAsia="Calibri" w:hAnsi="Times New Roman" w:cs="Times New Roman"/>
          <w:b/>
        </w:rPr>
      </w:pPr>
      <w:r w:rsidRPr="005D78C4">
        <w:rPr>
          <w:rFonts w:ascii="Times New Roman" w:eastAsia="Calibri" w:hAnsi="Times New Roman" w:cs="Times New Roman"/>
        </w:rPr>
        <w:t xml:space="preserve">След присъединяването на България към Европейския съюз КЗК, в качеството си на национален орган по конкуренция, стана член на ЕМК. Представители на Комисията участват в работни групи на ЕМК, както и могат да участват в изслушвания и заседания на Консултативния комитет по ограничителни практики и господстващо положение и Консултативния комитет по концентрации. Целта на изслушванията е да се предостави възможност на предприятията да изложат своите аргументи, относими към съответния казус. Консултативните комитети имат съвещателна роля и изработват становища по представените от ЕК проекти на решения или други актове. </w:t>
      </w:r>
    </w:p>
    <w:p w14:paraId="00BF1D33" w14:textId="77777777" w:rsidR="00632B63" w:rsidRPr="005D78C4" w:rsidRDefault="00632B63" w:rsidP="00DB66D9">
      <w:pPr>
        <w:spacing w:after="40" w:line="264" w:lineRule="auto"/>
        <w:ind w:firstLine="709"/>
        <w:jc w:val="both"/>
        <w:rPr>
          <w:rFonts w:ascii="Times New Roman" w:eastAsia="Calibri" w:hAnsi="Times New Roman" w:cs="Times New Roman"/>
          <w:sz w:val="24"/>
          <w:szCs w:val="24"/>
        </w:rPr>
      </w:pPr>
      <w:r w:rsidRPr="005D78C4">
        <w:rPr>
          <w:rFonts w:ascii="Times New Roman" w:eastAsia="Calibri" w:hAnsi="Times New Roman" w:cs="Times New Roman"/>
          <w:sz w:val="24"/>
          <w:szCs w:val="24"/>
        </w:rPr>
        <w:t>През първата половина на 2025 г. КЗК участва в 5 присъствени и 3 онлайн срещи на хоризонтални работни групи и секторни подгрупи (специализирани по сектори на икономиката) към Европейска мрежа по конкуренция (ЕМК), в които се обменят идеи и опит по въпроси от интерес за членовете на мрежата. Представител на КЗК взе участие и в 1 присъствено пленарно заседание, на което се обсъждат въпроси, свързани с политиката и практиката по приложението на правилата на конкуренция, изразяват се становища по поставени от работните групи въпроси, приемат се документи, разработени в рамките на съответните работни групи. КЗК взе участие онлайн в 1 заседание на Консултативния комитет по антитръст. КЗК участва също в 3 онлайн заседания на Консултативния комитет по цифровите пазари, които са посветени на прилагането съответно на Акта за цифровите пазари.</w:t>
      </w:r>
    </w:p>
    <w:p w14:paraId="5D594F28" w14:textId="35869680" w:rsidR="00632B63" w:rsidRPr="005D78C4" w:rsidRDefault="00632B63" w:rsidP="00DB66D9">
      <w:pPr>
        <w:spacing w:after="40" w:line="264" w:lineRule="auto"/>
        <w:ind w:firstLine="709"/>
        <w:jc w:val="both"/>
        <w:rPr>
          <w:rFonts w:ascii="Times New Roman" w:eastAsia="Calibri" w:hAnsi="Times New Roman" w:cs="Times New Roman"/>
          <w:sz w:val="24"/>
          <w:szCs w:val="24"/>
        </w:rPr>
      </w:pPr>
      <w:r w:rsidRPr="005D78C4">
        <w:rPr>
          <w:rFonts w:ascii="Times New Roman" w:eastAsia="Calibri" w:hAnsi="Times New Roman" w:cs="Times New Roman"/>
          <w:sz w:val="24"/>
          <w:szCs w:val="24"/>
        </w:rPr>
        <w:t>През месец юни 2025 г. зам.-председателят на КЗК, г-н Радомир Чолаков взе участие в срещата на председателите на органите по конкуренция от ЕМК, състояла се в гр. Дъблин, на която са обсъдени законодателни инициативи на ЕК, както и актуални въпроси от областта на антитръста и концентрациите.</w:t>
      </w:r>
      <w:bookmarkStart w:id="0" w:name="_Toc38459354"/>
    </w:p>
    <w:p w14:paraId="00D365E6" w14:textId="77777777" w:rsidR="000058C3" w:rsidRPr="005D78C4" w:rsidRDefault="00B47562" w:rsidP="00DB66D9">
      <w:pPr>
        <w:pStyle w:val="ListParagraph"/>
        <w:numPr>
          <w:ilvl w:val="0"/>
          <w:numId w:val="9"/>
        </w:numPr>
        <w:spacing w:after="40" w:line="264" w:lineRule="auto"/>
        <w:ind w:left="1134" w:hanging="425"/>
        <w:jc w:val="both"/>
        <w:rPr>
          <w:rFonts w:ascii="Times New Roman" w:eastAsia="Calibri" w:hAnsi="Times New Roman" w:cs="Times New Roman"/>
        </w:rPr>
      </w:pPr>
      <w:r w:rsidRPr="005D78C4">
        <w:rPr>
          <w:rFonts w:ascii="Times New Roman" w:hAnsi="Times New Roman" w:cs="Times New Roman"/>
          <w:b/>
        </w:rPr>
        <w:t>Координация по въпросите на Европейския съюз</w:t>
      </w:r>
      <w:bookmarkEnd w:id="0"/>
      <w:r w:rsidRPr="005D78C4">
        <w:rPr>
          <w:rFonts w:ascii="Times New Roman" w:hAnsi="Times New Roman" w:cs="Times New Roman"/>
          <w:b/>
        </w:rPr>
        <w:t xml:space="preserve">  </w:t>
      </w:r>
    </w:p>
    <w:p w14:paraId="17AFDBE1" w14:textId="77777777" w:rsidR="000058C3" w:rsidRPr="005D78C4" w:rsidRDefault="000058C3" w:rsidP="00DB66D9">
      <w:pPr>
        <w:spacing w:after="40" w:line="264" w:lineRule="auto"/>
        <w:ind w:firstLine="709"/>
        <w:jc w:val="both"/>
        <w:rPr>
          <w:rFonts w:ascii="Times New Roman" w:eastAsia="Calibri" w:hAnsi="Times New Roman" w:cs="Times New Roman"/>
          <w:sz w:val="24"/>
          <w:szCs w:val="24"/>
        </w:rPr>
      </w:pPr>
      <w:r w:rsidRPr="005D78C4">
        <w:rPr>
          <w:rFonts w:ascii="Times New Roman" w:eastAsia="Calibri" w:hAnsi="Times New Roman" w:cs="Times New Roman"/>
          <w:sz w:val="24"/>
          <w:szCs w:val="24"/>
        </w:rPr>
        <w:t xml:space="preserve">През първото полугодие на 2025г. Комисията за защита на конкуренцията продължи дейността си като водещо ведомство на Работна група „Конкуренция“ към Съвета по Европейски въпроси (СЕВ). КЗК, като водещо ведомство на РГ-5 „Конкуренция“ към СЕВ изготвяше и съгласуваше позиции и други документи в рамките на координационния механизъм на СЕВ. Особено активно участие отбеляза Комисията в рамките на заседания Работна група „Земеделие“ към Съвета на ЕС, в рамките на която през първото полугодие (Полското председателство на Съвета на ЕС) беше изготвен и съгласуван проект на Регламент на Европейски Парламент и на Съвета относно </w:t>
      </w:r>
      <w:r w:rsidRPr="005D78C4">
        <w:rPr>
          <w:rFonts w:ascii="Times New Roman" w:eastAsia="Calibri" w:hAnsi="Times New Roman" w:cs="Times New Roman"/>
          <w:sz w:val="24"/>
          <w:szCs w:val="24"/>
        </w:rPr>
        <w:lastRenderedPageBreak/>
        <w:t xml:space="preserve">сътрудничеството между националните правоприлагащи органи, отговорни за прилагането на директива (ЕС) 2019/633. Комисията за защита на конкуренцията е правоприлагащ орган по Директива (ЕС) 2019/633 с правомощията ѝ по глава Седем „б“ „Нелоялни търговски практики по веригата за доставки на селскостопански и хранителни продукти“. Експертите на КЗК анализираха проекта и предложения за редакция на други страни членки, изготвяха предложения за редакции на разпоредби от проекта, позиции на Република България по проекта и др. </w:t>
      </w:r>
    </w:p>
    <w:p w14:paraId="4B878863" w14:textId="0409C364" w:rsidR="00A956E0" w:rsidRPr="005D78C4" w:rsidRDefault="000058C3" w:rsidP="00DB66D9">
      <w:pPr>
        <w:spacing w:after="40" w:line="264" w:lineRule="auto"/>
        <w:ind w:firstLine="709"/>
        <w:jc w:val="both"/>
        <w:rPr>
          <w:rFonts w:ascii="Times New Roman" w:hAnsi="Times New Roman" w:cs="Times New Roman"/>
          <w:sz w:val="24"/>
          <w:szCs w:val="24"/>
        </w:rPr>
      </w:pPr>
      <w:r w:rsidRPr="005D78C4">
        <w:rPr>
          <w:rFonts w:ascii="Times New Roman" w:eastAsia="Calibri" w:hAnsi="Times New Roman" w:cs="Times New Roman"/>
          <w:sz w:val="24"/>
          <w:szCs w:val="24"/>
        </w:rPr>
        <w:t>Експерти на Комисията, участващи в състава на други работни групи в СЕВ, например, на Междуведомствената работна група за изготвянето на информации и позиции на Република България за заседанията на Съвета на ЕС по конкурентоспособност, даваха принос за изготвяне на цялостна позиция на страната за заседания на различни</w:t>
      </w:r>
      <w:r w:rsidR="00A956E0" w:rsidRPr="005D78C4">
        <w:rPr>
          <w:rFonts w:ascii="Times New Roman" w:eastAsia="Calibri" w:hAnsi="Times New Roman" w:cs="Times New Roman"/>
          <w:sz w:val="24"/>
          <w:szCs w:val="24"/>
        </w:rPr>
        <w:t xml:space="preserve"> формати в рамките на комитологията на ЕС.</w:t>
      </w:r>
    </w:p>
    <w:p w14:paraId="5188CFBE" w14:textId="77777777" w:rsidR="00177A7D" w:rsidRPr="005D78C4" w:rsidRDefault="00D803B0" w:rsidP="00DB66D9">
      <w:pPr>
        <w:pStyle w:val="ListParagraph"/>
        <w:numPr>
          <w:ilvl w:val="0"/>
          <w:numId w:val="9"/>
        </w:numPr>
        <w:spacing w:after="40" w:line="264" w:lineRule="auto"/>
        <w:ind w:left="1134" w:hanging="425"/>
        <w:jc w:val="both"/>
        <w:rPr>
          <w:rFonts w:ascii="Times New Roman" w:eastAsia="Calibri" w:hAnsi="Times New Roman" w:cs="Times New Roman"/>
          <w:b/>
        </w:rPr>
      </w:pPr>
      <w:r w:rsidRPr="005D78C4">
        <w:rPr>
          <w:rFonts w:ascii="Times New Roman" w:eastAsia="Calibri" w:hAnsi="Times New Roman" w:cs="Times New Roman"/>
          <w:b/>
        </w:rPr>
        <w:t>Участие в Международната мрежа по конкуренция</w:t>
      </w:r>
    </w:p>
    <w:p w14:paraId="1AF46556" w14:textId="2032A24B" w:rsidR="00177A7D" w:rsidRPr="005D78C4" w:rsidRDefault="00177A7D" w:rsidP="00DB66D9">
      <w:pPr>
        <w:spacing w:after="40" w:line="264" w:lineRule="auto"/>
        <w:ind w:firstLine="709"/>
        <w:jc w:val="both"/>
        <w:rPr>
          <w:rFonts w:ascii="Times New Roman" w:eastAsia="Calibri" w:hAnsi="Times New Roman" w:cs="Times New Roman"/>
          <w:b/>
          <w:sz w:val="24"/>
          <w:szCs w:val="24"/>
        </w:rPr>
      </w:pPr>
      <w:r w:rsidRPr="005D78C4">
        <w:rPr>
          <w:rFonts w:ascii="Times New Roman" w:eastAsia="Calibri" w:hAnsi="Times New Roman" w:cs="Times New Roman"/>
          <w:sz w:val="24"/>
          <w:szCs w:val="24"/>
        </w:rPr>
        <w:t>В качеството си на член на Международната мрежа по конкуренция (ММК) през първата половина на 2025 г. КЗК продължи активното си участие в работните групи на Мрежата. ММК разглежда въпроси в областта на законодателството и политиката на конкуренция. Целта е да се задълбочи взаимодействието между органите по конкуренция и да се постигне сближаване на законодателството и правоприлагането. Представители на КЗК взеха участие в редица виртуални семинари, организирани в рамките на работните групи на ММК.</w:t>
      </w:r>
    </w:p>
    <w:p w14:paraId="2CE0513C" w14:textId="77777777" w:rsidR="00177A7D" w:rsidRPr="005D78C4" w:rsidRDefault="00177A7D" w:rsidP="00DB66D9">
      <w:pPr>
        <w:spacing w:after="40" w:line="264" w:lineRule="auto"/>
        <w:ind w:firstLine="709"/>
        <w:jc w:val="both"/>
        <w:rPr>
          <w:rFonts w:ascii="Times New Roman" w:eastAsia="Calibri" w:hAnsi="Times New Roman" w:cs="Times New Roman"/>
          <w:sz w:val="24"/>
          <w:szCs w:val="24"/>
        </w:rPr>
      </w:pPr>
      <w:r w:rsidRPr="005D78C4">
        <w:rPr>
          <w:rFonts w:ascii="Times New Roman" w:eastAsia="Calibri" w:hAnsi="Times New Roman" w:cs="Times New Roman"/>
          <w:sz w:val="24"/>
          <w:szCs w:val="24"/>
        </w:rPr>
        <w:t>Експерти на КЗК взеха участие във уебинар на ММК на тема „Проактивно разкриване на картелни споразумения“ през месец февруари 2025 г.</w:t>
      </w:r>
    </w:p>
    <w:p w14:paraId="7792E4D0" w14:textId="77777777" w:rsidR="00012F73" w:rsidRPr="005D78C4" w:rsidRDefault="00012F73" w:rsidP="00697B32">
      <w:pPr>
        <w:pStyle w:val="ListParagraph"/>
        <w:numPr>
          <w:ilvl w:val="0"/>
          <w:numId w:val="9"/>
        </w:numPr>
        <w:spacing w:after="40" w:line="264" w:lineRule="auto"/>
        <w:ind w:left="284" w:hanging="425"/>
        <w:jc w:val="right"/>
        <w:rPr>
          <w:rFonts w:ascii="Times New Roman" w:eastAsiaTheme="majorEastAsia" w:hAnsi="Times New Roman" w:cs="Times New Roman"/>
          <w:b/>
        </w:rPr>
      </w:pPr>
      <w:r w:rsidRPr="005D78C4">
        <w:rPr>
          <w:rFonts w:ascii="Times New Roman" w:eastAsiaTheme="majorEastAsia" w:hAnsi="Times New Roman" w:cs="Times New Roman"/>
          <w:b/>
        </w:rPr>
        <w:t>Сътрудничество в Организацията за икономическо сътрудничество</w:t>
      </w:r>
      <w:r w:rsidRPr="005D78C4">
        <w:rPr>
          <w:rFonts w:ascii="Times New Roman" w:eastAsiaTheme="majorEastAsia" w:hAnsi="Times New Roman" w:cs="Times New Roman"/>
          <w:b/>
          <w:bCs/>
        </w:rPr>
        <w:t xml:space="preserve"> </w:t>
      </w:r>
      <w:r w:rsidRPr="005D78C4">
        <w:rPr>
          <w:rFonts w:ascii="Times New Roman" w:eastAsiaTheme="majorEastAsia" w:hAnsi="Times New Roman" w:cs="Times New Roman"/>
          <w:b/>
        </w:rPr>
        <w:t>и</w:t>
      </w:r>
    </w:p>
    <w:p w14:paraId="648C9A4A" w14:textId="5F9F2673" w:rsidR="00012F73" w:rsidRPr="005D78C4" w:rsidRDefault="00012F73" w:rsidP="00DB66D9">
      <w:pPr>
        <w:spacing w:after="40" w:line="264" w:lineRule="auto"/>
        <w:jc w:val="both"/>
        <w:rPr>
          <w:rFonts w:ascii="Times New Roman" w:eastAsiaTheme="majorEastAsia" w:hAnsi="Times New Roman" w:cs="Times New Roman"/>
          <w:b/>
          <w:sz w:val="24"/>
          <w:szCs w:val="24"/>
        </w:rPr>
      </w:pPr>
      <w:r w:rsidRPr="005D78C4">
        <w:rPr>
          <w:rFonts w:ascii="Times New Roman" w:eastAsiaTheme="majorEastAsia" w:hAnsi="Times New Roman" w:cs="Times New Roman"/>
          <w:b/>
          <w:sz w:val="24"/>
          <w:szCs w:val="24"/>
        </w:rPr>
        <w:t>развитие (ОИСР)</w:t>
      </w:r>
    </w:p>
    <w:p w14:paraId="661B35FC" w14:textId="77777777" w:rsidR="00693836" w:rsidRPr="005D78C4" w:rsidRDefault="00177A7D" w:rsidP="00DB66D9">
      <w:pPr>
        <w:spacing w:after="40" w:line="264" w:lineRule="auto"/>
        <w:ind w:firstLine="708"/>
        <w:jc w:val="both"/>
        <w:rPr>
          <w:rFonts w:ascii="Times New Roman" w:eastAsia="Times New Roman" w:hAnsi="Times New Roman" w:cs="Times New Roman"/>
          <w:sz w:val="24"/>
          <w:szCs w:val="24"/>
        </w:rPr>
      </w:pPr>
      <w:r w:rsidRPr="005D78C4">
        <w:rPr>
          <w:rFonts w:ascii="Times New Roman" w:eastAsia="Times New Roman" w:hAnsi="Times New Roman" w:cs="Times New Roman"/>
          <w:sz w:val="24"/>
          <w:szCs w:val="24"/>
        </w:rPr>
        <w:t xml:space="preserve">През първото полугодие на 2025 г. Комисията за защита на конкуренцията продължи сътрудничеството си с Комитета по конкуренцията и работните групи към него на ОИСР. Основен приоритет в работата на КЗК в тази област e подготовката за изпълнение на приоритетните препоръки на организацията в областта на конкуренцията, за получаване на положително становище от Комитета по конкуренция за присъединяване на България към ОИСР. </w:t>
      </w:r>
    </w:p>
    <w:p w14:paraId="5ACB8F66" w14:textId="0B323E69" w:rsidR="00177A7D" w:rsidRPr="005D78C4" w:rsidRDefault="00693836" w:rsidP="00DB66D9">
      <w:pPr>
        <w:spacing w:after="40" w:line="264" w:lineRule="auto"/>
        <w:ind w:firstLine="708"/>
        <w:jc w:val="both"/>
        <w:rPr>
          <w:rFonts w:ascii="Times New Roman" w:eastAsia="Times New Roman" w:hAnsi="Times New Roman" w:cs="Times New Roman"/>
          <w:sz w:val="24"/>
          <w:szCs w:val="24"/>
        </w:rPr>
      </w:pPr>
      <w:r w:rsidRPr="005D78C4">
        <w:rPr>
          <w:rFonts w:ascii="Times New Roman" w:eastAsia="Times New Roman" w:hAnsi="Times New Roman" w:cs="Times New Roman"/>
          <w:sz w:val="24"/>
          <w:szCs w:val="24"/>
        </w:rPr>
        <w:t>Д</w:t>
      </w:r>
      <w:r w:rsidR="00177A7D" w:rsidRPr="005D78C4">
        <w:rPr>
          <w:rFonts w:ascii="Times New Roman" w:eastAsia="Times New Roman" w:hAnsi="Times New Roman" w:cs="Times New Roman"/>
          <w:sz w:val="24"/>
          <w:szCs w:val="24"/>
        </w:rPr>
        <w:t xml:space="preserve">елегация на КЗК, водена от заместник-председателя на Комисията г-н Радомир Чолаков, участва в юнската сесия на Комитета по конкуренция на ОИСР (16-20 юни 2025 г.). За сесията КЗК изготви отчет за дейността си за 2024 г. На закрито заседание на Комитета по конкуренция г-н Чолаков информира членовете на Комитета за напредъка на България по съобразяване с препоръките на организацията към страната ни в областта на конкуренцията. Някои от препоръките, отправени към КЗК от Комитета по конкуренцията, изискват изменения и допълнения в ЗЗК. Поради това, Комисията анализира препоръките и е </w:t>
      </w:r>
      <w:r w:rsidRPr="005D78C4">
        <w:rPr>
          <w:rFonts w:ascii="Times New Roman" w:eastAsia="Times New Roman" w:hAnsi="Times New Roman" w:cs="Times New Roman"/>
          <w:sz w:val="24"/>
          <w:szCs w:val="24"/>
        </w:rPr>
        <w:t xml:space="preserve">идентифицирала необходимите изменения и допълнения в </w:t>
      </w:r>
      <w:r w:rsidR="00177A7D" w:rsidRPr="005D78C4">
        <w:rPr>
          <w:rFonts w:ascii="Times New Roman" w:eastAsia="Times New Roman" w:hAnsi="Times New Roman" w:cs="Times New Roman"/>
          <w:sz w:val="24"/>
          <w:szCs w:val="24"/>
        </w:rPr>
        <w:t>ЗЗК</w:t>
      </w:r>
      <w:r w:rsidRPr="005D78C4">
        <w:rPr>
          <w:rFonts w:ascii="Times New Roman" w:eastAsia="Times New Roman" w:hAnsi="Times New Roman" w:cs="Times New Roman"/>
          <w:sz w:val="24"/>
          <w:szCs w:val="24"/>
        </w:rPr>
        <w:t xml:space="preserve"> с оглед изпълнение на препоръките на ОИСР</w:t>
      </w:r>
      <w:r w:rsidR="00177A7D" w:rsidRPr="005D78C4">
        <w:rPr>
          <w:rFonts w:ascii="Times New Roman" w:eastAsia="Times New Roman" w:hAnsi="Times New Roman" w:cs="Times New Roman"/>
          <w:sz w:val="24"/>
          <w:szCs w:val="24"/>
        </w:rPr>
        <w:t xml:space="preserve">. </w:t>
      </w:r>
    </w:p>
    <w:p w14:paraId="4E491572" w14:textId="77777777" w:rsidR="00177A7D" w:rsidRPr="005D78C4" w:rsidRDefault="00177A7D" w:rsidP="00DB66D9">
      <w:pPr>
        <w:spacing w:after="40" w:line="264" w:lineRule="auto"/>
        <w:ind w:firstLine="708"/>
        <w:jc w:val="both"/>
        <w:rPr>
          <w:rFonts w:ascii="Times New Roman" w:eastAsia="Times New Roman" w:hAnsi="Times New Roman" w:cs="Times New Roman"/>
          <w:sz w:val="24"/>
          <w:szCs w:val="24"/>
        </w:rPr>
      </w:pPr>
      <w:r w:rsidRPr="005D78C4">
        <w:rPr>
          <w:rFonts w:ascii="Times New Roman" w:eastAsia="Times New Roman" w:hAnsi="Times New Roman" w:cs="Times New Roman"/>
          <w:sz w:val="24"/>
          <w:szCs w:val="24"/>
        </w:rPr>
        <w:t xml:space="preserve">Една от препоръките на Комитета по конкуренция изисква провеждане на обучения на експертния състав на КЗК, както и на контролни органи в областта на обществените поръчки, за откриване и санкциониране на тръжни манипулации в процедури за възлагане на обществени поръчки. Основното обучение по темата се извършва в рамките на двугодишния проект „Борба с тръжните манипулации при обществени поръчки: подобряване на съответствието и конкуренцията за обществени поръчки“, който се изпълнява от Организацията за икономическо сътрудничество и </w:t>
      </w:r>
      <w:r w:rsidRPr="005D78C4">
        <w:rPr>
          <w:rFonts w:ascii="Times New Roman" w:eastAsia="Times New Roman" w:hAnsi="Times New Roman" w:cs="Times New Roman"/>
          <w:sz w:val="24"/>
          <w:szCs w:val="24"/>
        </w:rPr>
        <w:lastRenderedPageBreak/>
        <w:t>развитие (ОИСР) и се финансира от Европейския съюз по програма „Технически инструмент за подкрепа“ (Technical Support Instrument-TSI) на Главна дирекция „Подкрепа на структурните реформи“ на Европейската комисия. Бенефициенти по проекта са националните органи по конкуренция на шест страни членки на Европейския съюз - Австрия, България, Гърция, Кипър, Румъния и Хърватска. Основната цел на проекта е да се повиши информираността на институциите и бизнеса за същността и индикациите за тръжни манипулации и да подобри координацията между всички участници в процедурите за възлагане на обществени поръчки (възложители, контролните органи, бизнеса). През първото полугодие на 2025 г. се проведоха четири семинара (съответно в Гърция, Кипър, Румъния и Хърватска), в които участваха като лектори и участници експерти от КЗК. На тези семинари представителите на Комисията споделиха своя опит в областта на правоприлагането за санкциониране на тръжни манипулации в обществени поръчки, като в същото време отбелязаха и добри практики в същата област на своите колеги от други страни членки на ЕС.  Проектът предвижда също така експерти от ОИСР да изготвят обучителни материали, които да се ползват в бъдеще. ОИСР ще направи преглед и ще предложи типов модел (образец) на споразумение за сътрудничество между националните органи по конкуренция и другите национални органи в областта на тръжните манипулации.</w:t>
      </w:r>
    </w:p>
    <w:p w14:paraId="64C884A3" w14:textId="77777777" w:rsidR="00177A7D" w:rsidRPr="005D78C4" w:rsidRDefault="00177A7D" w:rsidP="00DB66D9">
      <w:pPr>
        <w:spacing w:after="40" w:line="264" w:lineRule="auto"/>
        <w:ind w:firstLine="708"/>
        <w:jc w:val="both"/>
        <w:rPr>
          <w:rFonts w:ascii="Times New Roman" w:eastAsia="Times New Roman" w:hAnsi="Times New Roman" w:cs="Times New Roman"/>
          <w:sz w:val="24"/>
          <w:szCs w:val="24"/>
        </w:rPr>
      </w:pPr>
      <w:r w:rsidRPr="005D78C4">
        <w:rPr>
          <w:rFonts w:ascii="Times New Roman" w:eastAsia="Times New Roman" w:hAnsi="Times New Roman" w:cs="Times New Roman"/>
          <w:sz w:val="24"/>
          <w:szCs w:val="24"/>
        </w:rPr>
        <w:t xml:space="preserve">Освен дейността си в рамките на Комитета по конкуренция на ОИСР, КЗК продължи и работата си в Междуведомствения координационен механизъм по присъединяване на Република България към ОИСР. Междуведомственият координационен механизъм работи въз основа на разпоредбите на Постановление на Министерския съвет № 242 от 11 август 2022. Той се председателства от министъра на външните работи и в него участват представители на министерствата и ведомства, ангажирани със сътрудничеството с ОИСР. КЗК взе участие в заседанията на МКМ, проведени през първата половина на 2025 година. Експерти от Комисията също така попълваха и верифицираха въпросници, изпратени от държавни ведомства, свързани с присъединителния преглед на Република България от други комитети на ОИСР, освен Комитета по конкуренция на ОИСР. </w:t>
      </w:r>
    </w:p>
    <w:p w14:paraId="7B955354" w14:textId="77777777" w:rsidR="00177A7D" w:rsidRPr="005D78C4" w:rsidRDefault="00177A7D" w:rsidP="00DB66D9">
      <w:pPr>
        <w:spacing w:after="40" w:line="264" w:lineRule="auto"/>
        <w:ind w:firstLine="708"/>
        <w:jc w:val="both"/>
        <w:rPr>
          <w:rFonts w:ascii="Times New Roman" w:eastAsia="Times New Roman" w:hAnsi="Times New Roman" w:cs="Times New Roman"/>
          <w:sz w:val="24"/>
          <w:szCs w:val="24"/>
        </w:rPr>
      </w:pPr>
      <w:r w:rsidRPr="005D78C4">
        <w:rPr>
          <w:rFonts w:ascii="Times New Roman" w:eastAsia="Times New Roman" w:hAnsi="Times New Roman" w:cs="Times New Roman"/>
          <w:sz w:val="24"/>
          <w:szCs w:val="24"/>
        </w:rPr>
        <w:t>Комисията за защита на конкуренцията участва активно и в други семинари и конференции, организирани от Комитета по конкуренция на ОИСР. Експерти на КЗК се включиха през месец март 2025 г. в семинар на Регионалния център по конкуренция на ОИСР в Будапеща, проведен в гр. Билбао, Испания, на тема „Туризъм, транспорт и конкуренция“. Член на КЗК представляваше Комисията на юбилейната среща през м. февруари 2025 г. в гр. Будапеща, Унгария, по случай 20-годишнината от създаването на Регионалния център.</w:t>
      </w:r>
    </w:p>
    <w:p w14:paraId="5C96A8DC" w14:textId="60BA2FA4" w:rsidR="00D803B0" w:rsidRPr="005D78C4" w:rsidRDefault="00D803B0" w:rsidP="00DB66D9">
      <w:pPr>
        <w:pStyle w:val="ListParagraph"/>
        <w:numPr>
          <w:ilvl w:val="0"/>
          <w:numId w:val="9"/>
        </w:numPr>
        <w:spacing w:after="40" w:line="264" w:lineRule="auto"/>
        <w:ind w:left="1134" w:hanging="425"/>
        <w:jc w:val="both"/>
        <w:rPr>
          <w:rFonts w:ascii="Times New Roman" w:eastAsia="Calibri" w:hAnsi="Times New Roman" w:cs="Times New Roman"/>
          <w:b/>
        </w:rPr>
      </w:pPr>
      <w:r w:rsidRPr="005D78C4">
        <w:rPr>
          <w:rFonts w:ascii="Times New Roman" w:eastAsia="Calibri" w:hAnsi="Times New Roman" w:cs="Times New Roman"/>
          <w:b/>
        </w:rPr>
        <w:t>Обмен на информация в мрежите и организациите, в които КЗК участва</w:t>
      </w:r>
    </w:p>
    <w:p w14:paraId="4E0F6DC3" w14:textId="77777777" w:rsidR="00177A7D" w:rsidRPr="005D78C4" w:rsidRDefault="00177A7D" w:rsidP="00DB66D9">
      <w:pPr>
        <w:spacing w:after="40" w:line="264" w:lineRule="auto"/>
        <w:ind w:firstLine="709"/>
        <w:jc w:val="both"/>
        <w:rPr>
          <w:rFonts w:ascii="Times New Roman" w:eastAsia="Calibri" w:hAnsi="Times New Roman" w:cs="Times New Roman"/>
          <w:sz w:val="24"/>
          <w:szCs w:val="24"/>
        </w:rPr>
      </w:pPr>
      <w:r w:rsidRPr="005D78C4">
        <w:rPr>
          <w:rFonts w:ascii="Times New Roman" w:eastAsia="Calibri" w:hAnsi="Times New Roman" w:cs="Times New Roman"/>
          <w:sz w:val="24"/>
          <w:szCs w:val="24"/>
        </w:rPr>
        <w:t>В КЗК се получават многобройни и най-различни въпросници, произтичащи от сътрудничеството в рамките на Европейска мрежа по конкуренция, Международната мрежа по конкуренция и други организации. През първите шест месеца на 2025 г. броят на получените въпросници е 42, като КЗК е отговорила на всички.</w:t>
      </w:r>
    </w:p>
    <w:p w14:paraId="0E462713" w14:textId="2E90B6D7" w:rsidR="00D803B0" w:rsidRPr="005D78C4" w:rsidRDefault="00D803B0" w:rsidP="00DB66D9">
      <w:pPr>
        <w:spacing w:after="40" w:line="264" w:lineRule="auto"/>
        <w:jc w:val="both"/>
        <w:rPr>
          <w:rFonts w:ascii="Times New Roman" w:eastAsia="Calibri" w:hAnsi="Times New Roman" w:cs="Times New Roman"/>
          <w:sz w:val="24"/>
          <w:szCs w:val="24"/>
        </w:rPr>
      </w:pPr>
    </w:p>
    <w:p w14:paraId="79C03AAC" w14:textId="10939E45" w:rsidR="00D803B0" w:rsidRPr="005D78C4" w:rsidRDefault="00BA4B7F" w:rsidP="00DB66D9">
      <w:pPr>
        <w:pStyle w:val="ListParagraph"/>
        <w:numPr>
          <w:ilvl w:val="0"/>
          <w:numId w:val="9"/>
        </w:numPr>
        <w:spacing w:after="40" w:line="264" w:lineRule="auto"/>
        <w:ind w:left="1134" w:hanging="425"/>
        <w:jc w:val="both"/>
        <w:rPr>
          <w:rFonts w:ascii="Times New Roman" w:eastAsia="Calibri" w:hAnsi="Times New Roman" w:cs="Times New Roman"/>
          <w:b/>
        </w:rPr>
      </w:pPr>
      <w:r w:rsidRPr="005D78C4">
        <w:rPr>
          <w:rFonts w:ascii="Times New Roman" w:eastAsia="Calibri" w:hAnsi="Times New Roman" w:cs="Times New Roman"/>
          <w:b/>
        </w:rPr>
        <w:t>Дейност по процесуалното представителство на комисията</w:t>
      </w:r>
    </w:p>
    <w:p w14:paraId="47B1FBEA" w14:textId="77777777" w:rsidR="00177A7D" w:rsidRPr="005D78C4" w:rsidRDefault="00177A7D" w:rsidP="00DB66D9">
      <w:pPr>
        <w:spacing w:after="40" w:line="264" w:lineRule="auto"/>
        <w:ind w:firstLine="709"/>
        <w:jc w:val="both"/>
        <w:rPr>
          <w:rFonts w:ascii="Times New Roman" w:eastAsia="Calibri" w:hAnsi="Times New Roman" w:cs="Times New Roman"/>
          <w:sz w:val="24"/>
          <w:szCs w:val="24"/>
        </w:rPr>
      </w:pPr>
      <w:r w:rsidRPr="005D78C4">
        <w:rPr>
          <w:rFonts w:ascii="Times New Roman" w:eastAsia="Calibri" w:hAnsi="Times New Roman" w:cs="Times New Roman"/>
          <w:sz w:val="24"/>
          <w:szCs w:val="24"/>
        </w:rPr>
        <w:t xml:space="preserve">През първото шестмесечие на 2025 г. са подадени 9 жалби срещу 7 решения на КЗК и две разпореждания за отказ от образуване на производство, постановени по реда </w:t>
      </w:r>
      <w:r w:rsidRPr="005D78C4">
        <w:rPr>
          <w:rFonts w:ascii="Times New Roman" w:eastAsia="Calibri" w:hAnsi="Times New Roman" w:cs="Times New Roman"/>
          <w:sz w:val="24"/>
          <w:szCs w:val="24"/>
        </w:rPr>
        <w:lastRenderedPageBreak/>
        <w:t>на ЗЗК. От началото на годината не са постъпили жалби срещу определения, с които КЗК се е произнесла по въпроси без да се решава спорът по същество.</w:t>
      </w:r>
    </w:p>
    <w:p w14:paraId="121A1EF2" w14:textId="77777777" w:rsidR="00177A7D" w:rsidRPr="005D78C4" w:rsidRDefault="00177A7D" w:rsidP="00DB66D9">
      <w:pPr>
        <w:spacing w:after="40" w:line="264" w:lineRule="auto"/>
        <w:ind w:firstLine="709"/>
        <w:jc w:val="both"/>
        <w:rPr>
          <w:rFonts w:ascii="Times New Roman" w:eastAsia="Calibri" w:hAnsi="Times New Roman" w:cs="Times New Roman"/>
          <w:i/>
          <w:sz w:val="24"/>
          <w:szCs w:val="24"/>
        </w:rPr>
      </w:pPr>
      <w:r w:rsidRPr="005D78C4">
        <w:rPr>
          <w:rFonts w:ascii="Times New Roman" w:eastAsia="Calibri" w:hAnsi="Times New Roman" w:cs="Times New Roman"/>
          <w:i/>
          <w:sz w:val="24"/>
          <w:szCs w:val="24"/>
        </w:rPr>
        <w:t>Съдебна ревизия на АССО като първа съдебна инстанция</w:t>
      </w:r>
    </w:p>
    <w:p w14:paraId="0F21E2B7" w14:textId="77777777" w:rsidR="00177A7D" w:rsidRPr="005D78C4" w:rsidRDefault="00177A7D" w:rsidP="00DB66D9">
      <w:pPr>
        <w:spacing w:after="40" w:line="264" w:lineRule="auto"/>
        <w:ind w:firstLine="709"/>
        <w:jc w:val="both"/>
        <w:rPr>
          <w:rFonts w:ascii="Times New Roman" w:eastAsia="Calibri" w:hAnsi="Times New Roman" w:cs="Times New Roman"/>
          <w:sz w:val="24"/>
          <w:szCs w:val="24"/>
        </w:rPr>
      </w:pPr>
      <w:r w:rsidRPr="005D78C4">
        <w:rPr>
          <w:rFonts w:ascii="Times New Roman" w:eastAsia="Calibri" w:hAnsi="Times New Roman" w:cs="Times New Roman"/>
          <w:sz w:val="24"/>
          <w:szCs w:val="24"/>
        </w:rPr>
        <w:t>През първото шестмесечие на 2025 година Административен съд – София област се е произнесъл с общо с 24 решения и определения по жалби, подадени срещу актове на КЗК, постановени по реда на ЗЗК. Със своите  решения АССО потвърждава изцяло 15 акта на Комисията, с които е установенодали е налице нарушение по ЗЗК или е е постановено разпореждане за отказ от образуване на производство. Общо 7 постановени акта на КЗК са отменени изцяло през първите шест месеца на 2025г., а два са потвърдени  частично.</w:t>
      </w:r>
    </w:p>
    <w:p w14:paraId="22032DD2" w14:textId="77777777" w:rsidR="00177A7D" w:rsidRPr="005D78C4" w:rsidRDefault="00177A7D" w:rsidP="00DB66D9">
      <w:pPr>
        <w:spacing w:after="40" w:line="264" w:lineRule="auto"/>
        <w:ind w:firstLine="709"/>
        <w:jc w:val="both"/>
        <w:rPr>
          <w:rFonts w:ascii="Times New Roman" w:eastAsia="Calibri" w:hAnsi="Times New Roman" w:cs="Times New Roman"/>
          <w:i/>
          <w:sz w:val="24"/>
          <w:szCs w:val="24"/>
        </w:rPr>
      </w:pPr>
      <w:r w:rsidRPr="005D78C4">
        <w:rPr>
          <w:rFonts w:ascii="Times New Roman" w:eastAsia="Calibri" w:hAnsi="Times New Roman" w:cs="Times New Roman"/>
          <w:i/>
          <w:sz w:val="24"/>
          <w:szCs w:val="24"/>
        </w:rPr>
        <w:t xml:space="preserve">Съдебна ревизия на ВАС като касационна инстанция </w:t>
      </w:r>
    </w:p>
    <w:p w14:paraId="6F0192A0" w14:textId="77777777" w:rsidR="00177A7D" w:rsidRPr="005D78C4" w:rsidRDefault="00177A7D" w:rsidP="00DB66D9">
      <w:pPr>
        <w:spacing w:after="40" w:line="264" w:lineRule="auto"/>
        <w:ind w:firstLine="709"/>
        <w:jc w:val="both"/>
        <w:rPr>
          <w:rFonts w:ascii="Times New Roman" w:eastAsia="Calibri" w:hAnsi="Times New Roman" w:cs="Times New Roman"/>
          <w:sz w:val="24"/>
          <w:szCs w:val="24"/>
        </w:rPr>
      </w:pPr>
      <w:r w:rsidRPr="005D78C4">
        <w:rPr>
          <w:rFonts w:ascii="Times New Roman" w:eastAsia="Calibri" w:hAnsi="Times New Roman" w:cs="Times New Roman"/>
          <w:sz w:val="24"/>
          <w:szCs w:val="24"/>
        </w:rPr>
        <w:t xml:space="preserve">Върховният административен съд се е произнесъл като  касационна инстанция по спорове за конкуренция с общо 21 постановени  решения и определения. С тези актове ВАС оставя в сила 14 акта, постановени по реда на Закона за защита на конкуренцията, с които Комисията установява извършено нарушение или установява, че не е извършено нарушение на закона. Едно решение на КЗК е потвърдено частично, като съдът единствено е намалил наложената от Комисията санкция за установеното нарушение, а 6 акта са отменени изцяло, един от които е разпореждане за отказ от образуване на производство по реда на ЗЗК.   </w:t>
      </w:r>
    </w:p>
    <w:p w14:paraId="2A62ECF4" w14:textId="77777777" w:rsidR="00177A7D" w:rsidRPr="005D78C4" w:rsidRDefault="00177A7D" w:rsidP="00DB66D9">
      <w:pPr>
        <w:spacing w:after="40" w:line="264" w:lineRule="auto"/>
        <w:ind w:firstLine="709"/>
        <w:jc w:val="both"/>
        <w:rPr>
          <w:rFonts w:ascii="Times New Roman" w:eastAsia="Calibri" w:hAnsi="Times New Roman" w:cs="Times New Roman"/>
          <w:sz w:val="24"/>
          <w:szCs w:val="24"/>
        </w:rPr>
      </w:pPr>
      <w:r w:rsidRPr="005D78C4">
        <w:rPr>
          <w:rFonts w:ascii="Times New Roman" w:eastAsia="Calibri" w:hAnsi="Times New Roman" w:cs="Times New Roman"/>
          <w:sz w:val="24"/>
          <w:szCs w:val="24"/>
        </w:rPr>
        <w:t xml:space="preserve">С това към момента се запазва общият постигнат положителен резултат на дейността по процесуално представителство спрямо предходни години.    </w:t>
      </w:r>
    </w:p>
    <w:p w14:paraId="3029049D" w14:textId="77777777" w:rsidR="00177A7D" w:rsidRPr="005D78C4" w:rsidRDefault="00177A7D" w:rsidP="00DB66D9">
      <w:pPr>
        <w:spacing w:after="40" w:line="264" w:lineRule="auto"/>
        <w:ind w:firstLine="708"/>
        <w:jc w:val="both"/>
        <w:rPr>
          <w:rFonts w:ascii="Times New Roman" w:eastAsia="Calibri" w:hAnsi="Times New Roman" w:cs="Times New Roman"/>
          <w:sz w:val="24"/>
          <w:szCs w:val="24"/>
        </w:rPr>
      </w:pPr>
    </w:p>
    <w:p w14:paraId="30A2C8D0" w14:textId="77777777" w:rsidR="00177A7D" w:rsidRPr="005D78C4" w:rsidRDefault="00177A7D" w:rsidP="00FC3A7B">
      <w:pPr>
        <w:spacing w:after="40" w:line="264" w:lineRule="auto"/>
        <w:jc w:val="center"/>
        <w:rPr>
          <w:rFonts w:ascii="Times New Roman" w:eastAsia="Calibri" w:hAnsi="Times New Roman" w:cs="Times New Roman"/>
          <w:sz w:val="24"/>
          <w:szCs w:val="24"/>
        </w:rPr>
      </w:pPr>
      <w:r w:rsidRPr="005D78C4">
        <w:rPr>
          <w:noProof/>
          <w:lang w:eastAsia="bg-BG"/>
        </w:rPr>
        <w:drawing>
          <wp:inline distT="0" distB="0" distL="0" distR="0" wp14:anchorId="39C2C72A" wp14:editId="41EC82D6">
            <wp:extent cx="4913630" cy="2138901"/>
            <wp:effectExtent l="0" t="0" r="127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FE9BDE" w14:textId="77777777" w:rsidR="00177A7D" w:rsidRPr="005D78C4" w:rsidRDefault="00177A7D" w:rsidP="00DB66D9">
      <w:pPr>
        <w:spacing w:after="40" w:line="264" w:lineRule="auto"/>
        <w:ind w:firstLine="708"/>
        <w:jc w:val="both"/>
        <w:rPr>
          <w:rFonts w:ascii="Times New Roman" w:eastAsia="Calibri" w:hAnsi="Times New Roman" w:cs="Times New Roman"/>
          <w:bCs/>
          <w:sz w:val="24"/>
          <w:szCs w:val="24"/>
        </w:rPr>
      </w:pPr>
    </w:p>
    <w:p w14:paraId="15AE785B" w14:textId="77777777" w:rsidR="00177A7D" w:rsidRPr="005D78C4" w:rsidRDefault="00177A7D" w:rsidP="00DB66D9">
      <w:pPr>
        <w:spacing w:after="40" w:line="264" w:lineRule="auto"/>
        <w:ind w:firstLine="709"/>
        <w:jc w:val="both"/>
        <w:rPr>
          <w:rFonts w:ascii="Times New Roman" w:eastAsia="Calibri" w:hAnsi="Times New Roman" w:cs="Times New Roman"/>
          <w:bCs/>
          <w:sz w:val="24"/>
          <w:szCs w:val="24"/>
        </w:rPr>
      </w:pPr>
      <w:r w:rsidRPr="005D78C4">
        <w:rPr>
          <w:rFonts w:ascii="Times New Roman" w:eastAsia="Calibri" w:hAnsi="Times New Roman" w:cs="Times New Roman"/>
          <w:bCs/>
          <w:sz w:val="24"/>
          <w:szCs w:val="24"/>
        </w:rPr>
        <w:t>Постигнатият резултат от съдебната ревизия показва, че се запазва изцяло тенденцията на ежегодно потвърждаване на повече от 2/3 от обжалваните актове на КЗК, постановени по реда на ЗЗК.</w:t>
      </w:r>
    </w:p>
    <w:p w14:paraId="614BF354" w14:textId="77777777" w:rsidR="00177A7D" w:rsidRPr="005D78C4" w:rsidRDefault="00177A7D" w:rsidP="00DB66D9">
      <w:pPr>
        <w:spacing w:after="40" w:line="264" w:lineRule="auto"/>
        <w:ind w:firstLine="709"/>
        <w:jc w:val="both"/>
        <w:rPr>
          <w:rFonts w:ascii="Calibri" w:eastAsia="Calibri" w:hAnsi="Calibri" w:cs="Times New Roman"/>
          <w:sz w:val="24"/>
          <w:szCs w:val="24"/>
        </w:rPr>
      </w:pPr>
      <w:r w:rsidRPr="005D78C4">
        <w:rPr>
          <w:rFonts w:ascii="Times New Roman" w:eastAsia="Calibri" w:hAnsi="Times New Roman" w:cs="Times New Roman"/>
          <w:b/>
          <w:bCs/>
          <w:sz w:val="24"/>
          <w:szCs w:val="24"/>
        </w:rPr>
        <w:t>Най-голямата по размер наложена санкция, която е потвърдена с окончателно съдебно решение през първото шестмесечие на 2025г. възлиза на 336 146 лева</w:t>
      </w:r>
      <w:r w:rsidRPr="005D78C4">
        <w:rPr>
          <w:rFonts w:ascii="Times New Roman" w:eastAsia="Calibri" w:hAnsi="Times New Roman" w:cs="Times New Roman"/>
          <w:bCs/>
          <w:sz w:val="24"/>
          <w:szCs w:val="24"/>
        </w:rPr>
        <w:t xml:space="preserve"> (наложена на „ВиК - Варна“ ООД с Решение № 307/2024г.), като публичното вземане е събрано. Друга голяма по размер санкция, изцяло потвърдена през същия период от съда с окончателно решение е в  размер на 98 415 лева (наложена на „Сана Трейд“ ООД с Решение № 176/2024г.).</w:t>
      </w:r>
      <w:r w:rsidRPr="005D78C4">
        <w:rPr>
          <w:rFonts w:ascii="Times New Roman" w:eastAsia="Calibri" w:hAnsi="Times New Roman" w:cs="Times New Roman"/>
          <w:b/>
          <w:bCs/>
          <w:sz w:val="24"/>
          <w:szCs w:val="24"/>
        </w:rPr>
        <w:t xml:space="preserve"> </w:t>
      </w:r>
      <w:r w:rsidRPr="005D78C4">
        <w:rPr>
          <w:rFonts w:ascii="Times New Roman" w:eastAsia="Calibri" w:hAnsi="Times New Roman" w:cs="Times New Roman"/>
          <w:b/>
          <w:sz w:val="24"/>
          <w:szCs w:val="24"/>
        </w:rPr>
        <w:t>Най-голямата по размер санкция, изцяло отменена от съда през първото шестмесечие на 2025 година, възлиза на 274 394 лева</w:t>
      </w:r>
      <w:r w:rsidRPr="005D78C4">
        <w:rPr>
          <w:rFonts w:ascii="Times New Roman" w:eastAsia="Calibri" w:hAnsi="Times New Roman" w:cs="Times New Roman"/>
          <w:sz w:val="24"/>
          <w:szCs w:val="24"/>
        </w:rPr>
        <w:t xml:space="preserve"> (наложена на „Вуум.Бг“ ООД с Решение № 575/2024г.).  </w:t>
      </w:r>
    </w:p>
    <w:p w14:paraId="55258DC7" w14:textId="237891A5" w:rsidR="00F77261" w:rsidRPr="005D78C4" w:rsidRDefault="00F77261" w:rsidP="00DB66D9">
      <w:pPr>
        <w:spacing w:after="40" w:line="264" w:lineRule="auto"/>
        <w:jc w:val="both"/>
        <w:rPr>
          <w:rFonts w:ascii="Times New Roman" w:hAnsi="Times New Roman" w:cs="Times New Roman"/>
          <w:sz w:val="24"/>
          <w:szCs w:val="24"/>
        </w:rPr>
      </w:pPr>
    </w:p>
    <w:p w14:paraId="466F2049" w14:textId="6E92C241" w:rsidR="006646D4" w:rsidRPr="005D78C4" w:rsidRDefault="00C233D6" w:rsidP="00DB66D9">
      <w:pPr>
        <w:pStyle w:val="ListParagraph"/>
        <w:numPr>
          <w:ilvl w:val="0"/>
          <w:numId w:val="6"/>
        </w:numPr>
        <w:spacing w:after="40" w:line="264" w:lineRule="auto"/>
        <w:jc w:val="both"/>
        <w:rPr>
          <w:rFonts w:ascii="Times New Roman" w:hAnsi="Times New Roman" w:cs="Times New Roman"/>
          <w:b/>
        </w:rPr>
      </w:pPr>
      <w:r w:rsidRPr="005D78C4">
        <w:rPr>
          <w:rFonts w:ascii="Times New Roman" w:hAnsi="Times New Roman" w:cs="Times New Roman"/>
          <w:b/>
        </w:rPr>
        <w:t>Водене на електроне</w:t>
      </w:r>
      <w:r w:rsidR="00747418" w:rsidRPr="005D78C4">
        <w:rPr>
          <w:rFonts w:ascii="Times New Roman" w:hAnsi="Times New Roman" w:cs="Times New Roman"/>
          <w:b/>
        </w:rPr>
        <w:t>н регистър за издаваните актове</w:t>
      </w:r>
    </w:p>
    <w:p w14:paraId="30365947" w14:textId="77777777" w:rsidR="0048344A" w:rsidRPr="005D78C4" w:rsidRDefault="00496987" w:rsidP="00DB66D9">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 xml:space="preserve">Публикуването в електронния регистър се </w:t>
      </w:r>
      <w:r w:rsidR="00437BE2" w:rsidRPr="005D78C4">
        <w:rPr>
          <w:rFonts w:ascii="Times New Roman" w:hAnsi="Times New Roman" w:cs="Times New Roman"/>
          <w:sz w:val="24"/>
          <w:szCs w:val="24"/>
        </w:rPr>
        <w:t>извършва в изпълнение на чл.</w:t>
      </w:r>
      <w:r w:rsidRPr="005D78C4">
        <w:rPr>
          <w:rFonts w:ascii="Times New Roman" w:hAnsi="Times New Roman" w:cs="Times New Roman"/>
          <w:sz w:val="24"/>
          <w:szCs w:val="24"/>
        </w:rPr>
        <w:t xml:space="preserve"> </w:t>
      </w:r>
      <w:r w:rsidR="00437BE2" w:rsidRPr="005D78C4">
        <w:rPr>
          <w:rFonts w:ascii="Times New Roman" w:hAnsi="Times New Roman" w:cs="Times New Roman"/>
          <w:sz w:val="24"/>
          <w:szCs w:val="24"/>
        </w:rPr>
        <w:t>68 от ЗЗК с цел осигуряване на публичност на актовете на Комисията и публикуваните съобщения за образувани производства. Тази услуга е</w:t>
      </w:r>
      <w:r w:rsidR="0048344A" w:rsidRPr="005D78C4">
        <w:rPr>
          <w:rFonts w:ascii="Times New Roman" w:hAnsi="Times New Roman" w:cs="Times New Roman"/>
          <w:sz w:val="24"/>
          <w:szCs w:val="24"/>
        </w:rPr>
        <w:t xml:space="preserve"> действаща, с рутинен характер и </w:t>
      </w:r>
      <w:r w:rsidR="00437BE2" w:rsidRPr="005D78C4">
        <w:rPr>
          <w:rFonts w:ascii="Times New Roman" w:hAnsi="Times New Roman" w:cs="Times New Roman"/>
          <w:sz w:val="24"/>
          <w:szCs w:val="24"/>
        </w:rPr>
        <w:t>осигурява възможност на всички заинтересовани лица да упражняват правото си на защита като обжалват публикуваните актове от датата на тяхната публикация в регистъра или да изразят становище по образуваните производства.</w:t>
      </w:r>
    </w:p>
    <w:p w14:paraId="300BBA95" w14:textId="7306E003" w:rsidR="0048344A" w:rsidRPr="005D78C4" w:rsidRDefault="00437BE2" w:rsidP="00DB66D9">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 xml:space="preserve"> Оповестяването на актовете на КЗК в публичния регистър позволява на всички лица, освен заинтересованите от постановения акт, да се запознаят с практиката на Комисията, както и с правилата на</w:t>
      </w:r>
      <w:r w:rsidR="00974377" w:rsidRPr="005D78C4">
        <w:rPr>
          <w:rFonts w:ascii="Times New Roman" w:hAnsi="Times New Roman" w:cs="Times New Roman"/>
          <w:sz w:val="24"/>
          <w:szCs w:val="24"/>
        </w:rPr>
        <w:t xml:space="preserve"> конкуренция. </w:t>
      </w:r>
      <w:r w:rsidR="007321C2" w:rsidRPr="005D78C4">
        <w:rPr>
          <w:rFonts w:ascii="Times New Roman" w:hAnsi="Times New Roman" w:cs="Times New Roman"/>
          <w:sz w:val="24"/>
          <w:szCs w:val="24"/>
        </w:rPr>
        <w:t>За периода 01.01.202</w:t>
      </w:r>
      <w:r w:rsidR="00177A7D" w:rsidRPr="005D78C4">
        <w:rPr>
          <w:rFonts w:ascii="Times New Roman" w:hAnsi="Times New Roman" w:cs="Times New Roman"/>
          <w:sz w:val="24"/>
          <w:szCs w:val="24"/>
          <w:lang w:val="en-US"/>
        </w:rPr>
        <w:t>5</w:t>
      </w:r>
      <w:r w:rsidR="0046743B" w:rsidRPr="005D78C4">
        <w:rPr>
          <w:rFonts w:ascii="Times New Roman" w:hAnsi="Times New Roman" w:cs="Times New Roman"/>
          <w:sz w:val="24"/>
          <w:szCs w:val="24"/>
        </w:rPr>
        <w:t xml:space="preserve"> г.</w:t>
      </w:r>
      <w:r w:rsidR="007321C2" w:rsidRPr="005D78C4">
        <w:rPr>
          <w:rFonts w:ascii="Times New Roman" w:hAnsi="Times New Roman" w:cs="Times New Roman"/>
          <w:sz w:val="24"/>
          <w:szCs w:val="24"/>
        </w:rPr>
        <w:t xml:space="preserve"> - 3</w:t>
      </w:r>
      <w:r w:rsidR="00177A7D" w:rsidRPr="005D78C4">
        <w:rPr>
          <w:rFonts w:ascii="Times New Roman" w:hAnsi="Times New Roman" w:cs="Times New Roman"/>
          <w:sz w:val="24"/>
          <w:szCs w:val="24"/>
        </w:rPr>
        <w:t>0.06.2025</w:t>
      </w:r>
      <w:r w:rsidR="00974377" w:rsidRPr="005D78C4">
        <w:rPr>
          <w:rFonts w:ascii="Times New Roman" w:hAnsi="Times New Roman" w:cs="Times New Roman"/>
          <w:sz w:val="24"/>
          <w:szCs w:val="24"/>
        </w:rPr>
        <w:t xml:space="preserve"> г. в ре</w:t>
      </w:r>
      <w:r w:rsidR="00E85476" w:rsidRPr="005D78C4">
        <w:rPr>
          <w:rFonts w:ascii="Times New Roman" w:hAnsi="Times New Roman" w:cs="Times New Roman"/>
          <w:sz w:val="24"/>
          <w:szCs w:val="24"/>
        </w:rPr>
        <w:t>гистър</w:t>
      </w:r>
      <w:r w:rsidR="007321C2" w:rsidRPr="005D78C4">
        <w:rPr>
          <w:rFonts w:ascii="Times New Roman" w:hAnsi="Times New Roman" w:cs="Times New Roman"/>
          <w:sz w:val="24"/>
          <w:szCs w:val="24"/>
        </w:rPr>
        <w:t xml:space="preserve">а са публикувани общо  </w:t>
      </w:r>
      <w:r w:rsidR="00626386" w:rsidRPr="005D78C4">
        <w:rPr>
          <w:rFonts w:ascii="Times New Roman" w:hAnsi="Times New Roman" w:cs="Times New Roman"/>
          <w:sz w:val="24"/>
          <w:szCs w:val="24"/>
        </w:rPr>
        <w:t>408 решения и 209</w:t>
      </w:r>
      <w:r w:rsidR="00974377" w:rsidRPr="005D78C4">
        <w:rPr>
          <w:rFonts w:ascii="Times New Roman" w:hAnsi="Times New Roman" w:cs="Times New Roman"/>
          <w:sz w:val="24"/>
          <w:szCs w:val="24"/>
        </w:rPr>
        <w:t xml:space="preserve"> определения.</w:t>
      </w:r>
    </w:p>
    <w:p w14:paraId="26716AD0" w14:textId="35C8D2D9" w:rsidR="00A54D9F" w:rsidRPr="005D78C4" w:rsidRDefault="00437BE2" w:rsidP="00DB66D9">
      <w:pPr>
        <w:spacing w:after="40" w:line="264" w:lineRule="auto"/>
        <w:ind w:firstLine="709"/>
        <w:jc w:val="both"/>
        <w:rPr>
          <w:rFonts w:ascii="Times New Roman" w:hAnsi="Times New Roman" w:cs="Times New Roman"/>
          <w:sz w:val="24"/>
          <w:szCs w:val="24"/>
        </w:rPr>
      </w:pPr>
      <w:r w:rsidRPr="005D78C4">
        <w:rPr>
          <w:rFonts w:ascii="Times New Roman" w:hAnsi="Times New Roman" w:cs="Times New Roman"/>
          <w:sz w:val="24"/>
          <w:szCs w:val="24"/>
        </w:rPr>
        <w:t>Публикуването в регистъра се извършва при спазване на законовите срокове, определени в чл. 68, ал. 4 от ЗЗК. Регистърът се актуализира своевременно.</w:t>
      </w:r>
    </w:p>
    <w:p w14:paraId="744DA6DF" w14:textId="77777777" w:rsidR="00B20006" w:rsidRPr="005D78C4" w:rsidRDefault="00B20006" w:rsidP="00DB66D9">
      <w:pPr>
        <w:spacing w:after="40" w:line="264" w:lineRule="auto"/>
        <w:ind w:firstLine="709"/>
        <w:jc w:val="both"/>
        <w:rPr>
          <w:rFonts w:ascii="Times New Roman" w:hAnsi="Times New Roman" w:cs="Times New Roman"/>
          <w:sz w:val="24"/>
          <w:szCs w:val="24"/>
        </w:rPr>
      </w:pPr>
    </w:p>
    <w:p w14:paraId="4FF912E2" w14:textId="2ECA1792" w:rsidR="00425328" w:rsidRPr="005D78C4" w:rsidRDefault="00A42C88" w:rsidP="00DB66D9">
      <w:pPr>
        <w:pStyle w:val="ListParagraph"/>
        <w:numPr>
          <w:ilvl w:val="0"/>
          <w:numId w:val="6"/>
        </w:numPr>
        <w:spacing w:after="40" w:line="264" w:lineRule="auto"/>
        <w:ind w:left="0" w:firstLine="360"/>
        <w:jc w:val="both"/>
        <w:rPr>
          <w:rFonts w:ascii="Times New Roman" w:hAnsi="Times New Roman" w:cs="Times New Roman"/>
          <w:b/>
        </w:rPr>
      </w:pPr>
      <w:r w:rsidRPr="005D78C4">
        <w:rPr>
          <w:rFonts w:ascii="Times New Roman" w:hAnsi="Times New Roman" w:cs="Times New Roman"/>
          <w:b/>
        </w:rPr>
        <w:t xml:space="preserve"> </w:t>
      </w:r>
      <w:r w:rsidR="00C233D6" w:rsidRPr="005D78C4">
        <w:rPr>
          <w:rFonts w:ascii="Times New Roman" w:hAnsi="Times New Roman" w:cs="Times New Roman"/>
          <w:b/>
        </w:rPr>
        <w:t>Производства по обжалване, в рамките на които, при наличие на нормативноустановените предпоставки, се осъществява проучване и се постановява акт по законосъобразността на обжалваните решения, действия и бе</w:t>
      </w:r>
      <w:r w:rsidR="006646D4" w:rsidRPr="005D78C4">
        <w:rPr>
          <w:rFonts w:ascii="Times New Roman" w:hAnsi="Times New Roman" w:cs="Times New Roman"/>
          <w:b/>
        </w:rPr>
        <w:t xml:space="preserve">здействия на възложители по Закона </w:t>
      </w:r>
      <w:r w:rsidR="004E20AA" w:rsidRPr="005D78C4">
        <w:rPr>
          <w:rFonts w:ascii="Times New Roman" w:hAnsi="Times New Roman" w:cs="Times New Roman"/>
          <w:b/>
        </w:rPr>
        <w:t xml:space="preserve">за обществените поръчки </w:t>
      </w:r>
      <w:r w:rsidR="00C233D6" w:rsidRPr="005D78C4">
        <w:rPr>
          <w:rFonts w:ascii="Times New Roman" w:hAnsi="Times New Roman" w:cs="Times New Roman"/>
          <w:b/>
        </w:rPr>
        <w:t>и на концеденти по ЗК.</w:t>
      </w:r>
    </w:p>
    <w:p w14:paraId="7B5099DB" w14:textId="7355A5A3" w:rsidR="00716F08" w:rsidRPr="005D78C4" w:rsidRDefault="00716F08" w:rsidP="00DB66D9">
      <w:pPr>
        <w:pStyle w:val="ListParagraph"/>
        <w:numPr>
          <w:ilvl w:val="0"/>
          <w:numId w:val="7"/>
        </w:numPr>
        <w:spacing w:after="40" w:line="264" w:lineRule="auto"/>
        <w:ind w:left="1134" w:hanging="425"/>
        <w:jc w:val="both"/>
        <w:rPr>
          <w:rFonts w:ascii="Times New Roman" w:eastAsia="Times New Roman" w:hAnsi="Times New Roman" w:cs="Times New Roman"/>
          <w:b/>
          <w:lang w:eastAsia="bg-BG"/>
        </w:rPr>
      </w:pPr>
      <w:r w:rsidRPr="005D78C4">
        <w:rPr>
          <w:rFonts w:ascii="Times New Roman" w:eastAsia="Times New Roman" w:hAnsi="Times New Roman" w:cs="Times New Roman"/>
          <w:b/>
          <w:lang w:eastAsia="bg-BG"/>
        </w:rPr>
        <w:t>Дейност по Закона за обществените поръчки</w:t>
      </w:r>
    </w:p>
    <w:p w14:paraId="4897298A" w14:textId="5B34C555" w:rsidR="009A0E1D" w:rsidRPr="005D78C4" w:rsidRDefault="009A0E1D" w:rsidP="00DB66D9">
      <w:pPr>
        <w:spacing w:after="40" w:line="264" w:lineRule="auto"/>
        <w:ind w:firstLine="708"/>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За периода от 01.01.202</w:t>
      </w:r>
      <w:r w:rsidRPr="005D78C4">
        <w:rPr>
          <w:rFonts w:ascii="Times New Roman" w:eastAsia="Times New Roman" w:hAnsi="Times New Roman" w:cs="Times New Roman"/>
          <w:sz w:val="24"/>
          <w:szCs w:val="24"/>
          <w:lang w:val="en-US" w:eastAsia="bg-BG"/>
        </w:rPr>
        <w:t>5</w:t>
      </w:r>
      <w:r w:rsidRPr="005D78C4">
        <w:rPr>
          <w:rFonts w:ascii="Times New Roman" w:eastAsia="Times New Roman" w:hAnsi="Times New Roman" w:cs="Times New Roman"/>
          <w:sz w:val="24"/>
          <w:szCs w:val="24"/>
          <w:lang w:eastAsia="bg-BG"/>
        </w:rPr>
        <w:t xml:space="preserve"> г. до 3</w:t>
      </w:r>
      <w:r w:rsidRPr="005D78C4">
        <w:rPr>
          <w:rFonts w:ascii="Times New Roman" w:eastAsia="Times New Roman" w:hAnsi="Times New Roman" w:cs="Times New Roman"/>
          <w:sz w:val="24"/>
          <w:szCs w:val="24"/>
          <w:lang w:val="en-US" w:eastAsia="bg-BG"/>
        </w:rPr>
        <w:t>0</w:t>
      </w:r>
      <w:r w:rsidRPr="005D78C4">
        <w:rPr>
          <w:rFonts w:ascii="Times New Roman" w:eastAsia="Times New Roman" w:hAnsi="Times New Roman" w:cs="Times New Roman"/>
          <w:sz w:val="24"/>
          <w:szCs w:val="24"/>
          <w:lang w:eastAsia="bg-BG"/>
        </w:rPr>
        <w:t>.</w:t>
      </w:r>
      <w:r w:rsidRPr="005D78C4">
        <w:rPr>
          <w:rFonts w:ascii="Times New Roman" w:eastAsia="Times New Roman" w:hAnsi="Times New Roman" w:cs="Times New Roman"/>
          <w:sz w:val="24"/>
          <w:szCs w:val="24"/>
          <w:lang w:val="en-US" w:eastAsia="bg-BG"/>
        </w:rPr>
        <w:t>06</w:t>
      </w:r>
      <w:r w:rsidRPr="005D78C4">
        <w:rPr>
          <w:rFonts w:ascii="Times New Roman" w:eastAsia="Times New Roman" w:hAnsi="Times New Roman" w:cs="Times New Roman"/>
          <w:sz w:val="24"/>
          <w:szCs w:val="24"/>
          <w:lang w:eastAsia="bg-BG"/>
        </w:rPr>
        <w:t>.202</w:t>
      </w:r>
      <w:r w:rsidRPr="005D78C4">
        <w:rPr>
          <w:rFonts w:ascii="Times New Roman" w:eastAsia="Times New Roman" w:hAnsi="Times New Roman" w:cs="Times New Roman"/>
          <w:sz w:val="24"/>
          <w:szCs w:val="24"/>
          <w:lang w:val="en-US" w:eastAsia="bg-BG"/>
        </w:rPr>
        <w:t>5</w:t>
      </w:r>
      <w:r w:rsidRPr="005D78C4">
        <w:rPr>
          <w:rFonts w:ascii="Times New Roman" w:eastAsia="Times New Roman" w:hAnsi="Times New Roman" w:cs="Times New Roman"/>
          <w:sz w:val="24"/>
          <w:szCs w:val="24"/>
          <w:lang w:eastAsia="bg-BG"/>
        </w:rPr>
        <w:t xml:space="preserve"> г., в КЗК са депозирани </w:t>
      </w:r>
      <w:r w:rsidRPr="005D78C4">
        <w:rPr>
          <w:rFonts w:ascii="Times New Roman" w:eastAsia="Times New Roman" w:hAnsi="Times New Roman" w:cs="Times New Roman"/>
          <w:sz w:val="24"/>
          <w:szCs w:val="24"/>
          <w:lang w:val="en-US" w:eastAsia="bg-BG"/>
        </w:rPr>
        <w:t>660</w:t>
      </w:r>
      <w:r w:rsidRPr="005D78C4">
        <w:rPr>
          <w:rFonts w:ascii="Times New Roman" w:eastAsia="Times New Roman" w:hAnsi="Times New Roman" w:cs="Times New Roman"/>
          <w:sz w:val="24"/>
          <w:szCs w:val="24"/>
          <w:lang w:eastAsia="bg-BG"/>
        </w:rPr>
        <w:t xml:space="preserve"> жалби по ЗОП. Издадени са </w:t>
      </w:r>
      <w:r w:rsidRPr="005D78C4">
        <w:rPr>
          <w:rFonts w:ascii="Times New Roman" w:eastAsia="Times New Roman" w:hAnsi="Times New Roman" w:cs="Times New Roman"/>
          <w:sz w:val="24"/>
          <w:szCs w:val="24"/>
          <w:lang w:val="en-US" w:eastAsia="bg-BG"/>
        </w:rPr>
        <w:t>182</w:t>
      </w:r>
      <w:r w:rsidRPr="005D78C4">
        <w:rPr>
          <w:rFonts w:ascii="Times New Roman" w:eastAsia="Times New Roman" w:hAnsi="Times New Roman" w:cs="Times New Roman"/>
          <w:sz w:val="24"/>
          <w:szCs w:val="24"/>
          <w:lang w:eastAsia="bg-BG"/>
        </w:rPr>
        <w:t xml:space="preserve"> разпореждания на председателя на КЗК, с които е отказано образуване на производство. За същия период са образувани </w:t>
      </w:r>
      <w:r w:rsidRPr="005D78C4">
        <w:rPr>
          <w:rFonts w:ascii="Times New Roman" w:eastAsia="Times New Roman" w:hAnsi="Times New Roman" w:cs="Times New Roman"/>
          <w:sz w:val="24"/>
          <w:szCs w:val="24"/>
          <w:lang w:val="en-US" w:eastAsia="bg-BG"/>
        </w:rPr>
        <w:t>469</w:t>
      </w:r>
      <w:r w:rsidRPr="005D78C4">
        <w:rPr>
          <w:rFonts w:ascii="Times New Roman" w:eastAsia="Times New Roman" w:hAnsi="Times New Roman" w:cs="Times New Roman"/>
          <w:sz w:val="24"/>
          <w:szCs w:val="24"/>
          <w:lang w:eastAsia="bg-BG"/>
        </w:rPr>
        <w:t xml:space="preserve"> преписки.</w:t>
      </w:r>
    </w:p>
    <w:p w14:paraId="1D4A960E" w14:textId="6FF8C52F" w:rsidR="009A0E1D" w:rsidRPr="005D78C4" w:rsidRDefault="009A0E1D" w:rsidP="00DB66D9">
      <w:pPr>
        <w:spacing w:after="40" w:line="264" w:lineRule="auto"/>
        <w:ind w:firstLine="708"/>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 КЗК е постановила общо </w:t>
      </w:r>
      <w:r w:rsidRPr="005D78C4">
        <w:rPr>
          <w:rFonts w:ascii="Times New Roman" w:eastAsia="Times New Roman" w:hAnsi="Times New Roman" w:cs="Times New Roman"/>
          <w:sz w:val="24"/>
          <w:szCs w:val="24"/>
          <w:lang w:val="en-US" w:eastAsia="bg-BG"/>
        </w:rPr>
        <w:t>578</w:t>
      </w:r>
      <w:r w:rsidRPr="005D78C4">
        <w:rPr>
          <w:rFonts w:ascii="Times New Roman" w:eastAsia="Times New Roman" w:hAnsi="Times New Roman" w:cs="Times New Roman"/>
          <w:sz w:val="24"/>
          <w:szCs w:val="24"/>
          <w:lang w:eastAsia="bg-BG"/>
        </w:rPr>
        <w:t xml:space="preserve"> акта (</w:t>
      </w:r>
      <w:r w:rsidRPr="005D78C4">
        <w:rPr>
          <w:rFonts w:ascii="Times New Roman" w:eastAsia="Times New Roman" w:hAnsi="Times New Roman" w:cs="Times New Roman"/>
          <w:sz w:val="24"/>
          <w:szCs w:val="24"/>
          <w:lang w:val="en-US" w:eastAsia="bg-BG"/>
        </w:rPr>
        <w:t>370</w:t>
      </w:r>
      <w:r w:rsidRPr="005D78C4">
        <w:rPr>
          <w:rFonts w:ascii="Times New Roman" w:eastAsia="Times New Roman" w:hAnsi="Times New Roman" w:cs="Times New Roman"/>
          <w:sz w:val="24"/>
          <w:szCs w:val="24"/>
          <w:lang w:eastAsia="bg-BG"/>
        </w:rPr>
        <w:t xml:space="preserve"> решения и </w:t>
      </w:r>
      <w:r w:rsidRPr="005D78C4">
        <w:rPr>
          <w:rFonts w:ascii="Times New Roman" w:eastAsia="Times New Roman" w:hAnsi="Times New Roman" w:cs="Times New Roman"/>
          <w:sz w:val="24"/>
          <w:szCs w:val="24"/>
          <w:lang w:val="en-US" w:eastAsia="bg-BG"/>
        </w:rPr>
        <w:t>208</w:t>
      </w:r>
      <w:r w:rsidRPr="005D78C4">
        <w:rPr>
          <w:rFonts w:ascii="Times New Roman" w:eastAsia="Times New Roman" w:hAnsi="Times New Roman" w:cs="Times New Roman"/>
          <w:sz w:val="24"/>
          <w:szCs w:val="24"/>
          <w:lang w:eastAsia="bg-BG"/>
        </w:rPr>
        <w:t xml:space="preserve"> определения), с които е приключила образувани пред нея производства по ЗОП или се е произнесла по искане за налагане на временна мярка „спиране на процедурата“, искане за допускане на предварително изпълнение или искане за допълнение или изменение, в частта за разноските, както и определения касаещи спиране, съответно възобновяване на спряно производство. </w:t>
      </w:r>
    </w:p>
    <w:p w14:paraId="210BEEF4" w14:textId="1012BE9D" w:rsidR="009A0E1D" w:rsidRPr="005D78C4" w:rsidRDefault="009A0E1D" w:rsidP="00DB66D9">
      <w:pPr>
        <w:spacing w:after="40" w:line="264" w:lineRule="auto"/>
        <w:ind w:firstLine="708"/>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С  258 решения подадената пред КЗК жалба е оставена без уважение. Постановени са </w:t>
      </w:r>
      <w:r w:rsidRPr="005D78C4">
        <w:rPr>
          <w:rFonts w:ascii="Times New Roman" w:eastAsia="Times New Roman" w:hAnsi="Times New Roman" w:cs="Times New Roman"/>
          <w:sz w:val="24"/>
          <w:szCs w:val="24"/>
          <w:lang w:val="en-US" w:eastAsia="bg-BG"/>
        </w:rPr>
        <w:t>15</w:t>
      </w:r>
      <w:r w:rsidRPr="005D78C4">
        <w:rPr>
          <w:rFonts w:ascii="Times New Roman" w:eastAsia="Times New Roman" w:hAnsi="Times New Roman" w:cs="Times New Roman"/>
          <w:sz w:val="24"/>
          <w:szCs w:val="24"/>
          <w:lang w:eastAsia="bg-BG"/>
        </w:rPr>
        <w:t xml:space="preserve"> решения, с които са отменени решения на възложителите за откриване на процедури за възлагане на обществени поръчки. По 98  производства КЗК е отменила незаконосъобразното решение на възложителя, като е върнала преписката със задължителни указания по хода на процедурата. За посочения период няма производствo в което КЗК да е установила незаконосъобразност на обжалвано решение.</w:t>
      </w:r>
    </w:p>
    <w:p w14:paraId="22AC59D6" w14:textId="18F8E9A2" w:rsidR="009A0E1D" w:rsidRPr="005D78C4" w:rsidRDefault="009A0E1D" w:rsidP="00DB66D9">
      <w:pPr>
        <w:spacing w:after="40" w:line="264" w:lineRule="auto"/>
        <w:jc w:val="both"/>
        <w:rPr>
          <w:rFonts w:ascii="Times New Roman" w:hAnsi="Times New Roman" w:cs="Times New Roman"/>
          <w:sz w:val="24"/>
          <w:szCs w:val="24"/>
        </w:rPr>
      </w:pPr>
      <w:r w:rsidRPr="005D78C4">
        <w:rPr>
          <w:rFonts w:ascii="Times New Roman" w:hAnsi="Times New Roman" w:cs="Times New Roman"/>
          <w:sz w:val="24"/>
          <w:szCs w:val="24"/>
        </w:rPr>
        <w:t xml:space="preserve">          За полугодието в 1 решение КЗК е наложила на възложителя имуществена санкция, която е в размер от едно до три на сто от стойността на сключения договор ( чл.215, ал.2, т.4 от ЗОП).</w:t>
      </w:r>
    </w:p>
    <w:p w14:paraId="7E7AFE0E" w14:textId="2DF11962" w:rsidR="009A0E1D" w:rsidRPr="005D78C4" w:rsidRDefault="009A0E1D" w:rsidP="00DB66D9">
      <w:pPr>
        <w:spacing w:after="40" w:line="264" w:lineRule="auto"/>
        <w:ind w:firstLine="708"/>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Следва да се отчита, че има производства, по които КЗК се е произнесла с повече от един диспозитив (когато са постъпили повече от една жалби срещу решение/действие/бездействие на възложител и те са обединени за разглеждане в общо производство или когато жалбата касае различни обособени позиции по една процедура на възложител).</w:t>
      </w:r>
    </w:p>
    <w:p w14:paraId="49C09E75" w14:textId="2F4F66F7" w:rsidR="009A0E1D" w:rsidRPr="005D78C4" w:rsidRDefault="009A0E1D" w:rsidP="00DB66D9">
      <w:pPr>
        <w:spacing w:after="40" w:line="264" w:lineRule="auto"/>
        <w:ind w:firstLine="708"/>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lastRenderedPageBreak/>
        <w:t>С 4</w:t>
      </w:r>
      <w:r w:rsidRPr="005D78C4">
        <w:rPr>
          <w:rFonts w:ascii="Times New Roman" w:eastAsia="Times New Roman" w:hAnsi="Times New Roman" w:cs="Times New Roman"/>
          <w:sz w:val="24"/>
          <w:szCs w:val="24"/>
          <w:lang w:val="en-US" w:eastAsia="bg-BG"/>
        </w:rPr>
        <w:t>6</w:t>
      </w:r>
      <w:r w:rsidRPr="005D78C4">
        <w:rPr>
          <w:rFonts w:ascii="Times New Roman" w:eastAsia="Times New Roman" w:hAnsi="Times New Roman" w:cs="Times New Roman"/>
          <w:sz w:val="24"/>
          <w:szCs w:val="24"/>
          <w:lang w:eastAsia="bg-BG"/>
        </w:rPr>
        <w:t xml:space="preserve"> определения КЗК е оставила без уважение направено искане за налагане на временна мярка „спиране на процедурата“, в 5 определения е наложила мярката, а  2</w:t>
      </w:r>
      <w:r w:rsidRPr="005D78C4">
        <w:rPr>
          <w:rFonts w:ascii="Times New Roman" w:eastAsia="Times New Roman" w:hAnsi="Times New Roman" w:cs="Times New Roman"/>
          <w:sz w:val="24"/>
          <w:szCs w:val="24"/>
          <w:lang w:val="en-US" w:eastAsia="bg-BG"/>
        </w:rPr>
        <w:t>3</w:t>
      </w:r>
      <w:r w:rsidRPr="005D78C4">
        <w:rPr>
          <w:rFonts w:ascii="Times New Roman" w:eastAsia="Times New Roman" w:hAnsi="Times New Roman" w:cs="Times New Roman"/>
          <w:sz w:val="24"/>
          <w:szCs w:val="24"/>
          <w:lang w:eastAsia="bg-BG"/>
        </w:rPr>
        <w:t xml:space="preserve"> случая искането е оставено без разглеждане.  </w:t>
      </w:r>
    </w:p>
    <w:p w14:paraId="76274E6C" w14:textId="365030B7" w:rsidR="009A0E1D" w:rsidRPr="005D78C4" w:rsidRDefault="009A0E1D" w:rsidP="00DB66D9">
      <w:pPr>
        <w:spacing w:after="40" w:line="264" w:lineRule="auto"/>
        <w:ind w:firstLine="708"/>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С 20 определения КЗК е допуснала предварително изпълнение на обжалваното решение на възложителя, с 1</w:t>
      </w:r>
      <w:r w:rsidRPr="005D78C4">
        <w:rPr>
          <w:rFonts w:ascii="Times New Roman" w:eastAsia="Times New Roman" w:hAnsi="Times New Roman" w:cs="Times New Roman"/>
          <w:sz w:val="24"/>
          <w:szCs w:val="24"/>
          <w:lang w:val="en-US" w:eastAsia="bg-BG"/>
        </w:rPr>
        <w:t>7</w:t>
      </w:r>
      <w:r w:rsidRPr="005D78C4">
        <w:rPr>
          <w:rFonts w:ascii="Times New Roman" w:eastAsia="Times New Roman" w:hAnsi="Times New Roman" w:cs="Times New Roman"/>
          <w:sz w:val="24"/>
          <w:szCs w:val="24"/>
          <w:lang w:eastAsia="bg-BG"/>
        </w:rPr>
        <w:t xml:space="preserve"> определения отправеното искане е оставено без уважение, а в 2 случая - без разглеждане.  </w:t>
      </w:r>
    </w:p>
    <w:p w14:paraId="44F02DC3" w14:textId="6C4AFB58" w:rsidR="009A0E1D" w:rsidRPr="005D78C4" w:rsidRDefault="009A0E1D" w:rsidP="00DB66D9">
      <w:pPr>
        <w:spacing w:after="40" w:line="264" w:lineRule="auto"/>
        <w:ind w:firstLine="708"/>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Постановени са </w:t>
      </w:r>
      <w:r w:rsidRPr="005D78C4">
        <w:rPr>
          <w:rFonts w:ascii="Times New Roman" w:eastAsia="Times New Roman" w:hAnsi="Times New Roman" w:cs="Times New Roman"/>
          <w:sz w:val="24"/>
          <w:szCs w:val="24"/>
          <w:lang w:val="en-US" w:eastAsia="bg-BG"/>
        </w:rPr>
        <w:t xml:space="preserve">47 </w:t>
      </w:r>
      <w:r w:rsidRPr="005D78C4">
        <w:rPr>
          <w:rFonts w:ascii="Times New Roman" w:eastAsia="Times New Roman" w:hAnsi="Times New Roman" w:cs="Times New Roman"/>
          <w:sz w:val="24"/>
          <w:szCs w:val="24"/>
          <w:lang w:eastAsia="bg-BG"/>
        </w:rPr>
        <w:t xml:space="preserve">определения, с които жалбата е оставена без разглеждане, а образуваното пред КЗК производство е прекратено, a </w:t>
      </w:r>
      <w:r w:rsidRPr="005D78C4">
        <w:rPr>
          <w:rFonts w:ascii="Times New Roman" w:eastAsia="Times New Roman" w:hAnsi="Times New Roman" w:cs="Times New Roman"/>
          <w:sz w:val="24"/>
          <w:szCs w:val="24"/>
          <w:lang w:val="en-US" w:eastAsia="bg-BG"/>
        </w:rPr>
        <w:t>25</w:t>
      </w:r>
      <w:r w:rsidRPr="005D78C4">
        <w:rPr>
          <w:rFonts w:ascii="Times New Roman" w:eastAsia="Times New Roman" w:hAnsi="Times New Roman" w:cs="Times New Roman"/>
          <w:sz w:val="24"/>
          <w:szCs w:val="24"/>
          <w:lang w:eastAsia="bg-BG"/>
        </w:rPr>
        <w:t xml:space="preserve"> определения – оттегляне на жалба.  </w:t>
      </w:r>
    </w:p>
    <w:p w14:paraId="4D186FA6" w14:textId="77777777" w:rsidR="009A0E1D" w:rsidRPr="005D78C4" w:rsidRDefault="009A0E1D" w:rsidP="00DB66D9">
      <w:pPr>
        <w:spacing w:after="40" w:line="264" w:lineRule="auto"/>
        <w:ind w:firstLine="708"/>
        <w:jc w:val="both"/>
        <w:rPr>
          <w:rFonts w:ascii="Times New Roman" w:eastAsia="Times New Roman" w:hAnsi="Times New Roman" w:cs="Times New Roman"/>
          <w:sz w:val="24"/>
          <w:szCs w:val="24"/>
          <w:lang w:eastAsia="bg-BG"/>
        </w:rPr>
      </w:pPr>
      <w:r w:rsidRPr="005D78C4">
        <w:rPr>
          <w:rFonts w:ascii="Times New Roman" w:eastAsia="Times New Roman" w:hAnsi="Times New Roman" w:cs="Times New Roman"/>
          <w:sz w:val="24"/>
          <w:szCs w:val="24"/>
          <w:lang w:eastAsia="bg-BG"/>
        </w:rPr>
        <w:t xml:space="preserve">Останалите </w:t>
      </w:r>
      <w:r w:rsidRPr="005D78C4">
        <w:rPr>
          <w:rFonts w:ascii="Times New Roman" w:eastAsia="Times New Roman" w:hAnsi="Times New Roman" w:cs="Times New Roman"/>
          <w:sz w:val="24"/>
          <w:szCs w:val="24"/>
          <w:lang w:val="en-US" w:eastAsia="bg-BG"/>
        </w:rPr>
        <w:t xml:space="preserve">17 </w:t>
      </w:r>
      <w:r w:rsidRPr="005D78C4">
        <w:rPr>
          <w:rFonts w:ascii="Times New Roman" w:eastAsia="Times New Roman" w:hAnsi="Times New Roman" w:cs="Times New Roman"/>
          <w:sz w:val="24"/>
          <w:szCs w:val="24"/>
          <w:lang w:eastAsia="bg-BG"/>
        </w:rPr>
        <w:t>броя определяния, касаят спиране (1 бр.), съответно възобновяване на спряно производство (3 бр.), както и произнасяне по искане за изменение и/или допълнение на решение/определение на КЗК, в частта за разноските (</w:t>
      </w:r>
      <w:r w:rsidRPr="005D78C4">
        <w:rPr>
          <w:rFonts w:ascii="Times New Roman" w:eastAsia="Times New Roman" w:hAnsi="Times New Roman" w:cs="Times New Roman"/>
          <w:sz w:val="24"/>
          <w:szCs w:val="24"/>
          <w:lang w:val="en-US" w:eastAsia="bg-BG"/>
        </w:rPr>
        <w:t>13</w:t>
      </w:r>
      <w:r w:rsidRPr="005D78C4">
        <w:rPr>
          <w:rFonts w:ascii="Times New Roman" w:eastAsia="Times New Roman" w:hAnsi="Times New Roman" w:cs="Times New Roman"/>
          <w:sz w:val="24"/>
          <w:szCs w:val="24"/>
          <w:lang w:eastAsia="bg-BG"/>
        </w:rPr>
        <w:t xml:space="preserve"> бр.). </w:t>
      </w:r>
    </w:p>
    <w:p w14:paraId="27A98A39" w14:textId="1BD20182" w:rsidR="00294D07" w:rsidRPr="005D78C4" w:rsidRDefault="001F4361" w:rsidP="00DB66D9">
      <w:pPr>
        <w:numPr>
          <w:ilvl w:val="0"/>
          <w:numId w:val="7"/>
        </w:numPr>
        <w:spacing w:after="40" w:line="264" w:lineRule="auto"/>
        <w:rPr>
          <w:rFonts w:ascii="Times New Roman" w:eastAsia="Times New Roman" w:hAnsi="Times New Roman" w:cs="Times New Roman"/>
          <w:b/>
          <w:sz w:val="24"/>
          <w:szCs w:val="24"/>
          <w:lang w:eastAsia="bg-BG"/>
        </w:rPr>
      </w:pPr>
      <w:r w:rsidRPr="005D78C4">
        <w:rPr>
          <w:rFonts w:ascii="Times New Roman" w:eastAsia="Times New Roman" w:hAnsi="Times New Roman" w:cs="Times New Roman"/>
          <w:sz w:val="24"/>
          <w:szCs w:val="24"/>
          <w:lang w:eastAsia="bg-BG"/>
        </w:rPr>
        <w:t xml:space="preserve"> </w:t>
      </w:r>
      <w:r w:rsidR="00294D07" w:rsidRPr="005D78C4">
        <w:rPr>
          <w:rFonts w:ascii="Times New Roman" w:eastAsia="Times New Roman" w:hAnsi="Times New Roman" w:cs="Times New Roman"/>
          <w:b/>
          <w:sz w:val="24"/>
          <w:szCs w:val="24"/>
          <w:lang w:eastAsia="bg-BG"/>
        </w:rPr>
        <w:t>Дейност по Закона за концесиите</w:t>
      </w:r>
    </w:p>
    <w:p w14:paraId="4B9E6A43" w14:textId="77777777" w:rsidR="009A0E1D" w:rsidRPr="005D78C4" w:rsidRDefault="009A0E1D" w:rsidP="00DB66D9">
      <w:pPr>
        <w:spacing w:after="40" w:line="264" w:lineRule="auto"/>
        <w:ind w:firstLine="708"/>
        <w:jc w:val="both"/>
        <w:rPr>
          <w:rFonts w:ascii="Times New Roman" w:hAnsi="Times New Roman" w:cs="Times New Roman"/>
          <w:b/>
          <w:bCs/>
          <w:sz w:val="24"/>
          <w:szCs w:val="24"/>
        </w:rPr>
      </w:pPr>
      <w:r w:rsidRPr="005D78C4">
        <w:rPr>
          <w:rFonts w:ascii="Times New Roman" w:eastAsia="Times New Roman" w:hAnsi="Times New Roman" w:cs="Times New Roman"/>
          <w:sz w:val="24"/>
          <w:szCs w:val="24"/>
          <w:lang w:eastAsia="bg-BG"/>
        </w:rPr>
        <w:t>За периода от 01.01.202</w:t>
      </w:r>
      <w:r w:rsidRPr="005D78C4">
        <w:rPr>
          <w:rFonts w:ascii="Times New Roman" w:eastAsia="Times New Roman" w:hAnsi="Times New Roman" w:cs="Times New Roman"/>
          <w:sz w:val="24"/>
          <w:szCs w:val="24"/>
          <w:lang w:val="en-US" w:eastAsia="bg-BG"/>
        </w:rPr>
        <w:t>5</w:t>
      </w:r>
      <w:r w:rsidRPr="005D78C4">
        <w:rPr>
          <w:rFonts w:ascii="Times New Roman" w:eastAsia="Times New Roman" w:hAnsi="Times New Roman" w:cs="Times New Roman"/>
          <w:sz w:val="24"/>
          <w:szCs w:val="24"/>
          <w:lang w:eastAsia="bg-BG"/>
        </w:rPr>
        <w:t xml:space="preserve"> г. до 30.06.202</w:t>
      </w:r>
      <w:r w:rsidRPr="005D78C4">
        <w:rPr>
          <w:rFonts w:ascii="Times New Roman" w:eastAsia="Times New Roman" w:hAnsi="Times New Roman" w:cs="Times New Roman"/>
          <w:sz w:val="24"/>
          <w:szCs w:val="24"/>
          <w:lang w:val="en-US" w:eastAsia="bg-BG"/>
        </w:rPr>
        <w:t>5</w:t>
      </w:r>
      <w:r w:rsidRPr="005D78C4">
        <w:rPr>
          <w:rFonts w:ascii="Times New Roman" w:eastAsia="Times New Roman" w:hAnsi="Times New Roman" w:cs="Times New Roman"/>
          <w:sz w:val="24"/>
          <w:szCs w:val="24"/>
          <w:lang w:eastAsia="bg-BG"/>
        </w:rPr>
        <w:t xml:space="preserve"> г., в КЗК  няма депозирани жалби по Закона за концесиите. За посочения период няма издадени разпореждания на председателя на КЗК за отказ от образуване на производство. За същия период няма образувани преписки по повод жалби по ЗК. За полугодието има постановено едно решение по ЗК</w:t>
      </w:r>
      <w:r w:rsidRPr="005D78C4">
        <w:t xml:space="preserve"> </w:t>
      </w:r>
      <w:r w:rsidRPr="005D78C4">
        <w:rPr>
          <w:rFonts w:ascii="Times New Roman" w:hAnsi="Times New Roman" w:cs="Times New Roman"/>
          <w:sz w:val="24"/>
          <w:szCs w:val="24"/>
        </w:rPr>
        <w:t>по повод образувана преписка през предходната 2024 г. За посочения период няма отправено искане за допускане на предварително изпълнение на обжалваното решение на концедента или отправено искане за налагане на временна мярка „спиране на процедурата“ за предоставяне на концесия.</w:t>
      </w:r>
      <w:r w:rsidRPr="005D78C4">
        <w:rPr>
          <w:rFonts w:ascii="Times New Roman" w:eastAsia="Times New Roman" w:hAnsi="Times New Roman" w:cs="Times New Roman"/>
          <w:sz w:val="24"/>
          <w:szCs w:val="24"/>
          <w:lang w:eastAsia="bg-BG"/>
        </w:rPr>
        <w:t xml:space="preserve">  </w:t>
      </w:r>
    </w:p>
    <w:p w14:paraId="6E67CECA" w14:textId="48708F22" w:rsidR="001F4361" w:rsidRPr="005D78C4" w:rsidRDefault="001F4361" w:rsidP="00DB66D9">
      <w:pPr>
        <w:spacing w:after="40" w:line="264" w:lineRule="auto"/>
        <w:ind w:firstLine="708"/>
        <w:jc w:val="both"/>
        <w:rPr>
          <w:rFonts w:ascii="Times New Roman" w:eastAsia="Times New Roman" w:hAnsi="Times New Roman" w:cs="Times New Roman"/>
          <w:sz w:val="24"/>
          <w:szCs w:val="24"/>
          <w:lang w:eastAsia="bg-BG"/>
        </w:rPr>
      </w:pPr>
    </w:p>
    <w:p w14:paraId="4249C785" w14:textId="77777777" w:rsidR="00D11963" w:rsidRPr="005D78C4" w:rsidRDefault="00A37AE7" w:rsidP="00DB66D9">
      <w:pPr>
        <w:spacing w:after="40" w:line="264" w:lineRule="auto"/>
        <w:jc w:val="both"/>
        <w:rPr>
          <w:rFonts w:ascii="Times New Roman" w:hAnsi="Times New Roman" w:cs="Times New Roman"/>
          <w:b/>
          <w:i/>
          <w:sz w:val="24"/>
          <w:szCs w:val="24"/>
        </w:rPr>
      </w:pPr>
      <w:r w:rsidRPr="005D78C4">
        <w:rPr>
          <w:rFonts w:ascii="Times New Roman" w:hAnsi="Times New Roman" w:cs="Times New Roman"/>
          <w:b/>
          <w:i/>
          <w:sz w:val="24"/>
          <w:szCs w:val="24"/>
        </w:rPr>
        <w:t>в)</w:t>
      </w:r>
      <w:r w:rsidR="00747418" w:rsidRPr="005D78C4">
        <w:rPr>
          <w:rFonts w:ascii="Times New Roman" w:hAnsi="Times New Roman" w:cs="Times New Roman"/>
          <w:b/>
          <w:i/>
          <w:sz w:val="24"/>
          <w:szCs w:val="24"/>
        </w:rPr>
        <w:t xml:space="preserve"> Отчет на показателите за изпълнение на бюджетната програма</w:t>
      </w:r>
      <w:r w:rsidRPr="005D78C4">
        <w:rPr>
          <w:rFonts w:ascii="Times New Roman" w:hAnsi="Times New Roman" w:cs="Times New Roman"/>
          <w:b/>
          <w:i/>
          <w:sz w:val="24"/>
          <w:szCs w:val="24"/>
        </w:rPr>
        <w:t xml:space="preserve"> </w:t>
      </w:r>
    </w:p>
    <w:p w14:paraId="0956D131" w14:textId="3F8EEBFF" w:rsidR="005C291C" w:rsidRPr="005D78C4" w:rsidRDefault="00E30400" w:rsidP="00DB66D9">
      <w:pPr>
        <w:spacing w:after="40" w:line="264" w:lineRule="auto"/>
        <w:jc w:val="both"/>
        <w:rPr>
          <w:rFonts w:ascii="Times New Roman" w:hAnsi="Times New Roman" w:cs="Times New Roman"/>
          <w:sz w:val="24"/>
          <w:szCs w:val="24"/>
        </w:rPr>
      </w:pPr>
      <w:r w:rsidRPr="005D78C4">
        <w:rPr>
          <w:rFonts w:ascii="Times New Roman" w:hAnsi="Times New Roman" w:cs="Times New Roman"/>
          <w:i/>
          <w:sz w:val="24"/>
          <w:szCs w:val="24"/>
        </w:rPr>
        <w:t>Бюджетната п</w:t>
      </w:r>
      <w:r w:rsidR="004635A4" w:rsidRPr="005D78C4">
        <w:rPr>
          <w:rFonts w:ascii="Times New Roman" w:hAnsi="Times New Roman" w:cs="Times New Roman"/>
          <w:i/>
          <w:sz w:val="24"/>
          <w:szCs w:val="24"/>
        </w:rPr>
        <w:t>рограма</w:t>
      </w:r>
      <w:r w:rsidR="004635A4" w:rsidRPr="005D78C4">
        <w:rPr>
          <w:rFonts w:ascii="Times New Roman" w:hAnsi="Times New Roman" w:cs="Times New Roman"/>
          <w:sz w:val="24"/>
          <w:szCs w:val="24"/>
        </w:rPr>
        <w:t xml:space="preserve"> решава въпроси, свързани с дейността на Комисията по изпълнението на Закона за защита на конкуренцията, Закона за обществените поръчки и Закона за концесиите. Поради това изискването за формулиране на показатели за изпълнение и планиране на целеви с</w:t>
      </w:r>
      <w:r w:rsidRPr="005D78C4">
        <w:rPr>
          <w:rFonts w:ascii="Times New Roman" w:hAnsi="Times New Roman" w:cs="Times New Roman"/>
          <w:sz w:val="24"/>
          <w:szCs w:val="24"/>
        </w:rPr>
        <w:t>тойности по тях не е приложимо.</w:t>
      </w:r>
      <w:r w:rsidR="00222918" w:rsidRPr="005D78C4">
        <w:rPr>
          <w:rFonts w:ascii="Times New Roman" w:hAnsi="Times New Roman" w:cs="Times New Roman"/>
          <w:b/>
          <w:i/>
          <w:sz w:val="24"/>
          <w:szCs w:val="24"/>
        </w:rPr>
        <w:t xml:space="preserve"> </w:t>
      </w:r>
      <w:r w:rsidR="004635A4" w:rsidRPr="005D78C4">
        <w:rPr>
          <w:rFonts w:ascii="Times New Roman" w:hAnsi="Times New Roman" w:cs="Times New Roman"/>
          <w:sz w:val="24"/>
          <w:szCs w:val="24"/>
        </w:rPr>
        <w:t>Съгласно указание на Министерство на финансите БЮ № 3 от 30.08.2019 г. за новоопределените ПРБ с Решение на Министерски съвет № 520 от 29.08.2019 г., не се изисква дефиниране на показатели за полза/ ефект и залагането на целеви стойности по тези показатели за изпълнение, поради което не може да бъде предоставена информация за нали</w:t>
      </w:r>
      <w:r w:rsidR="005E0692" w:rsidRPr="005D78C4">
        <w:rPr>
          <w:rFonts w:ascii="Times New Roman" w:hAnsi="Times New Roman" w:cs="Times New Roman"/>
          <w:sz w:val="24"/>
          <w:szCs w:val="24"/>
        </w:rPr>
        <w:t>чността и качеството на данните.</w:t>
      </w:r>
    </w:p>
    <w:p w14:paraId="123E9D9F" w14:textId="5B1876BB" w:rsidR="009D02DB" w:rsidRPr="005D78C4" w:rsidRDefault="009D02DB" w:rsidP="00DB66D9">
      <w:pPr>
        <w:spacing w:after="40" w:line="264" w:lineRule="auto"/>
        <w:jc w:val="both"/>
        <w:rPr>
          <w:rFonts w:ascii="Times New Roman" w:eastAsia="Times New Roman" w:hAnsi="Times New Roman" w:cs="Times New Roman"/>
          <w:b/>
          <w:i/>
          <w:sz w:val="24"/>
          <w:szCs w:val="24"/>
          <w:lang w:eastAsia="bg-BG"/>
        </w:rPr>
      </w:pPr>
    </w:p>
    <w:p w14:paraId="548FCFC1" w14:textId="77777777" w:rsidR="00610720" w:rsidRDefault="00610720" w:rsidP="00DB66D9">
      <w:pPr>
        <w:spacing w:after="40" w:line="264" w:lineRule="auto"/>
        <w:jc w:val="both"/>
        <w:rPr>
          <w:rFonts w:ascii="Times New Roman" w:eastAsia="Times New Roman" w:hAnsi="Times New Roman" w:cs="Times New Roman"/>
          <w:b/>
          <w:i/>
          <w:sz w:val="24"/>
          <w:szCs w:val="24"/>
          <w:lang w:eastAsia="bg-BG"/>
        </w:rPr>
      </w:pPr>
    </w:p>
    <w:p w14:paraId="32856194" w14:textId="4696621C" w:rsidR="00222918" w:rsidRPr="00E03E2C" w:rsidRDefault="00222918" w:rsidP="00DB66D9">
      <w:pPr>
        <w:spacing w:after="40" w:line="264" w:lineRule="auto"/>
        <w:jc w:val="both"/>
        <w:rPr>
          <w:rFonts w:ascii="Times New Roman" w:eastAsia="Times New Roman" w:hAnsi="Times New Roman" w:cs="Times New Roman"/>
          <w:b/>
          <w:i/>
          <w:sz w:val="24"/>
          <w:szCs w:val="24"/>
          <w:lang w:eastAsia="bg-BG"/>
        </w:rPr>
      </w:pPr>
      <w:r w:rsidRPr="00E03E2C">
        <w:rPr>
          <w:rFonts w:ascii="Times New Roman" w:eastAsia="Times New Roman" w:hAnsi="Times New Roman" w:cs="Times New Roman"/>
          <w:b/>
          <w:i/>
          <w:sz w:val="24"/>
          <w:szCs w:val="24"/>
          <w:lang w:eastAsia="bg-BG"/>
        </w:rPr>
        <w:t>г)</w:t>
      </w:r>
      <w:r w:rsidR="003A5974" w:rsidRPr="00E03E2C">
        <w:rPr>
          <w:rFonts w:ascii="Times New Roman" w:eastAsia="Times New Roman" w:hAnsi="Times New Roman" w:cs="Times New Roman"/>
          <w:b/>
          <w:i/>
          <w:sz w:val="24"/>
          <w:szCs w:val="24"/>
          <w:lang w:eastAsia="bg-BG"/>
        </w:rPr>
        <w:t xml:space="preserve"> Отчет на разходите по бюджетните програми с разпределение по ведомствени и администрирани разходи – Приложение № 7</w:t>
      </w:r>
    </w:p>
    <w:p w14:paraId="41FD2FDA" w14:textId="77777777" w:rsidR="00222918" w:rsidRPr="00E03E2C" w:rsidRDefault="00222918" w:rsidP="00DB66D9">
      <w:pPr>
        <w:widowControl w:val="0"/>
        <w:spacing w:after="40" w:line="264" w:lineRule="auto"/>
        <w:ind w:left="709" w:hanging="709"/>
        <w:jc w:val="both"/>
        <w:rPr>
          <w:rFonts w:ascii="Times New Roman" w:eastAsia="Times New Roman" w:hAnsi="Times New Roman" w:cs="Times New Roman"/>
          <w:b/>
          <w:sz w:val="24"/>
          <w:szCs w:val="24"/>
          <w:lang w:val="en-US"/>
        </w:rPr>
      </w:pPr>
    </w:p>
    <w:tbl>
      <w:tblPr>
        <w:tblW w:w="9320" w:type="dxa"/>
        <w:tblInd w:w="-10" w:type="dxa"/>
        <w:tblCellMar>
          <w:left w:w="70" w:type="dxa"/>
          <w:right w:w="70" w:type="dxa"/>
        </w:tblCellMar>
        <w:tblLook w:val="04A0" w:firstRow="1" w:lastRow="0" w:firstColumn="1" w:lastColumn="0" w:noHBand="0" w:noVBand="1"/>
      </w:tblPr>
      <w:tblGrid>
        <w:gridCol w:w="960"/>
        <w:gridCol w:w="5480"/>
        <w:gridCol w:w="960"/>
        <w:gridCol w:w="960"/>
        <w:gridCol w:w="960"/>
      </w:tblGrid>
      <w:tr w:rsidR="003F79B1" w:rsidRPr="00E03E2C" w14:paraId="1C31A7EB" w14:textId="77777777" w:rsidTr="00745CD0">
        <w:trPr>
          <w:trHeight w:val="829"/>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E6E6E6"/>
            <w:noWrap/>
            <w:vAlign w:val="center"/>
            <w:hideMark/>
          </w:tcPr>
          <w:p w14:paraId="3B7B674C" w14:textId="77777777" w:rsidR="003A5974" w:rsidRPr="00E03E2C" w:rsidRDefault="003A5974" w:rsidP="00DB66D9">
            <w:pPr>
              <w:spacing w:after="40" w:line="264" w:lineRule="auto"/>
              <w:jc w:val="center"/>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w:t>
            </w:r>
          </w:p>
        </w:tc>
        <w:tc>
          <w:tcPr>
            <w:tcW w:w="5480" w:type="dxa"/>
            <w:tcBorders>
              <w:top w:val="single" w:sz="8" w:space="0" w:color="auto"/>
              <w:left w:val="nil"/>
              <w:bottom w:val="nil"/>
              <w:right w:val="single" w:sz="8" w:space="0" w:color="auto"/>
            </w:tcBorders>
            <w:shd w:val="clear" w:color="000000" w:fill="E6E6E6"/>
            <w:vAlign w:val="bottom"/>
            <w:hideMark/>
          </w:tcPr>
          <w:p w14:paraId="0836AA8D" w14:textId="77777777" w:rsidR="003A5974" w:rsidRPr="00E03E2C" w:rsidRDefault="003A5974" w:rsidP="00DB66D9">
            <w:pPr>
              <w:spacing w:after="40" w:line="264" w:lineRule="auto"/>
              <w:jc w:val="both"/>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4200.01.01 Бюджетна програма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14:paraId="343991D4" w14:textId="77777777" w:rsidR="003A5974" w:rsidRPr="00E03E2C" w:rsidRDefault="003A5974" w:rsidP="00DB66D9">
            <w:pPr>
              <w:spacing w:after="40" w:line="264" w:lineRule="auto"/>
              <w:jc w:val="center"/>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Закон</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14:paraId="1F9C4B1C" w14:textId="77777777" w:rsidR="003A5974" w:rsidRPr="00E03E2C" w:rsidRDefault="003A5974" w:rsidP="00DB66D9">
            <w:pPr>
              <w:spacing w:after="40" w:line="264" w:lineRule="auto"/>
              <w:jc w:val="center"/>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Уточнен план</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14:paraId="49FA2386" w14:textId="77777777" w:rsidR="003A5974" w:rsidRPr="00E03E2C" w:rsidRDefault="003A5974" w:rsidP="00DB66D9">
            <w:pPr>
              <w:spacing w:after="40" w:line="264" w:lineRule="auto"/>
              <w:jc w:val="center"/>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Отчет</w:t>
            </w:r>
          </w:p>
        </w:tc>
      </w:tr>
      <w:tr w:rsidR="003F79B1" w:rsidRPr="00E03E2C" w14:paraId="21E46FA4" w14:textId="77777777" w:rsidTr="00B20006">
        <w:trPr>
          <w:trHeight w:val="48"/>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3803ACDA" w14:textId="77777777" w:rsidR="003A5974" w:rsidRPr="00E03E2C" w:rsidRDefault="003A5974" w:rsidP="00DB66D9">
            <w:pPr>
              <w:spacing w:after="40" w:line="264" w:lineRule="auto"/>
              <w:rPr>
                <w:rFonts w:ascii="Times New Roman" w:eastAsia="Times New Roman" w:hAnsi="Times New Roman" w:cs="Times New Roman"/>
                <w:b/>
                <w:bCs/>
                <w:sz w:val="18"/>
                <w:szCs w:val="18"/>
                <w:lang w:eastAsia="bg-BG"/>
              </w:rPr>
            </w:pPr>
          </w:p>
        </w:tc>
        <w:tc>
          <w:tcPr>
            <w:tcW w:w="5480" w:type="dxa"/>
            <w:tcBorders>
              <w:top w:val="nil"/>
              <w:left w:val="nil"/>
              <w:bottom w:val="single" w:sz="8" w:space="0" w:color="auto"/>
              <w:right w:val="single" w:sz="8" w:space="0" w:color="auto"/>
            </w:tcBorders>
            <w:shd w:val="clear" w:color="000000" w:fill="E6E6E6"/>
            <w:noWrap/>
            <w:vAlign w:val="center"/>
            <w:hideMark/>
          </w:tcPr>
          <w:p w14:paraId="000AEFCE" w14:textId="799D6E75" w:rsidR="003A5974" w:rsidRPr="00E03E2C" w:rsidRDefault="003A5974" w:rsidP="00DB66D9">
            <w:pPr>
              <w:spacing w:after="40" w:line="264" w:lineRule="auto"/>
              <w:jc w:val="center"/>
              <w:rPr>
                <w:rFonts w:ascii="Times New Roman" w:eastAsia="Times New Roman" w:hAnsi="Times New Roman" w:cs="Times New Roman"/>
                <w:b/>
                <w:bCs/>
                <w:sz w:val="18"/>
                <w:szCs w:val="18"/>
                <w:lang w:eastAsia="bg-BG"/>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E9E65B0" w14:textId="77777777" w:rsidR="003A5974" w:rsidRPr="00E03E2C" w:rsidRDefault="003A5974" w:rsidP="00DB66D9">
            <w:pPr>
              <w:spacing w:after="40" w:line="264" w:lineRule="auto"/>
              <w:rPr>
                <w:rFonts w:ascii="Times New Roman" w:eastAsia="Times New Roman" w:hAnsi="Times New Roman" w:cs="Times New Roman"/>
                <w:b/>
                <w:bCs/>
                <w:sz w:val="18"/>
                <w:szCs w:val="18"/>
                <w:lang w:eastAsia="bg-BG"/>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5DAFDF16" w14:textId="77777777" w:rsidR="003A5974" w:rsidRPr="00E03E2C" w:rsidRDefault="003A5974" w:rsidP="00DB66D9">
            <w:pPr>
              <w:spacing w:after="40" w:line="264" w:lineRule="auto"/>
              <w:rPr>
                <w:rFonts w:ascii="Times New Roman" w:eastAsia="Times New Roman" w:hAnsi="Times New Roman" w:cs="Times New Roman"/>
                <w:b/>
                <w:bCs/>
                <w:sz w:val="18"/>
                <w:szCs w:val="18"/>
                <w:lang w:eastAsia="bg-BG"/>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F0E47C7" w14:textId="77777777" w:rsidR="003A5974" w:rsidRPr="00E03E2C" w:rsidRDefault="003A5974" w:rsidP="00DB66D9">
            <w:pPr>
              <w:spacing w:after="40" w:line="264" w:lineRule="auto"/>
              <w:rPr>
                <w:rFonts w:ascii="Times New Roman" w:eastAsia="Times New Roman" w:hAnsi="Times New Roman" w:cs="Times New Roman"/>
                <w:b/>
                <w:bCs/>
                <w:sz w:val="18"/>
                <w:szCs w:val="18"/>
                <w:lang w:eastAsia="bg-BG"/>
              </w:rPr>
            </w:pPr>
          </w:p>
        </w:tc>
      </w:tr>
      <w:tr w:rsidR="003F79B1" w:rsidRPr="00E03E2C" w14:paraId="04801AFF" w14:textId="77777777" w:rsidTr="00745CD0">
        <w:trPr>
          <w:trHeight w:val="315"/>
        </w:trPr>
        <w:tc>
          <w:tcPr>
            <w:tcW w:w="960" w:type="dxa"/>
            <w:tcBorders>
              <w:top w:val="nil"/>
              <w:left w:val="single" w:sz="8" w:space="0" w:color="auto"/>
              <w:bottom w:val="single" w:sz="8" w:space="0" w:color="auto"/>
              <w:right w:val="single" w:sz="8" w:space="0" w:color="auto"/>
            </w:tcBorders>
            <w:shd w:val="clear" w:color="000000" w:fill="E6E6E6"/>
            <w:noWrap/>
            <w:vAlign w:val="center"/>
            <w:hideMark/>
          </w:tcPr>
          <w:p w14:paraId="539BB1F5" w14:textId="77777777" w:rsidR="005E53D5" w:rsidRPr="00E03E2C" w:rsidRDefault="005E53D5" w:rsidP="00DB66D9">
            <w:pPr>
              <w:spacing w:after="40" w:line="264" w:lineRule="auto"/>
              <w:jc w:val="both"/>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І.</w:t>
            </w:r>
          </w:p>
        </w:tc>
        <w:tc>
          <w:tcPr>
            <w:tcW w:w="5480" w:type="dxa"/>
            <w:tcBorders>
              <w:top w:val="nil"/>
              <w:left w:val="nil"/>
              <w:bottom w:val="single" w:sz="8" w:space="0" w:color="auto"/>
              <w:right w:val="single" w:sz="8" w:space="0" w:color="auto"/>
            </w:tcBorders>
            <w:shd w:val="clear" w:color="000000" w:fill="E6E6E6"/>
            <w:noWrap/>
            <w:vAlign w:val="center"/>
            <w:hideMark/>
          </w:tcPr>
          <w:p w14:paraId="1706D381" w14:textId="77777777" w:rsidR="005E53D5" w:rsidRPr="00E03E2C" w:rsidRDefault="005E53D5" w:rsidP="00DB66D9">
            <w:pPr>
              <w:spacing w:after="40" w:line="264" w:lineRule="auto"/>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Общо ведомствени разходи:</w:t>
            </w:r>
          </w:p>
        </w:tc>
        <w:tc>
          <w:tcPr>
            <w:tcW w:w="960" w:type="dxa"/>
            <w:tcBorders>
              <w:top w:val="nil"/>
              <w:left w:val="nil"/>
              <w:bottom w:val="single" w:sz="8" w:space="0" w:color="auto"/>
              <w:right w:val="single" w:sz="8" w:space="0" w:color="auto"/>
            </w:tcBorders>
            <w:shd w:val="clear" w:color="000000" w:fill="E6E6E6"/>
            <w:noWrap/>
            <w:vAlign w:val="center"/>
            <w:hideMark/>
          </w:tcPr>
          <w:p w14:paraId="7BECCAFC" w14:textId="520E559B" w:rsidR="005E53D5" w:rsidRPr="00E03E2C" w:rsidRDefault="005E53D5"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7 724 900</w:t>
            </w:r>
          </w:p>
        </w:tc>
        <w:tc>
          <w:tcPr>
            <w:tcW w:w="960" w:type="dxa"/>
            <w:tcBorders>
              <w:top w:val="nil"/>
              <w:left w:val="nil"/>
              <w:bottom w:val="single" w:sz="8" w:space="0" w:color="auto"/>
              <w:right w:val="single" w:sz="8" w:space="0" w:color="auto"/>
            </w:tcBorders>
            <w:shd w:val="clear" w:color="000000" w:fill="E6E6E6"/>
            <w:noWrap/>
            <w:vAlign w:val="center"/>
            <w:hideMark/>
          </w:tcPr>
          <w:p w14:paraId="46341E8E" w14:textId="59BEB902" w:rsidR="005E53D5" w:rsidRPr="00E03E2C" w:rsidRDefault="005E53D5"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7 724 900</w:t>
            </w:r>
          </w:p>
        </w:tc>
        <w:tc>
          <w:tcPr>
            <w:tcW w:w="960" w:type="dxa"/>
            <w:tcBorders>
              <w:top w:val="nil"/>
              <w:left w:val="nil"/>
              <w:bottom w:val="single" w:sz="8" w:space="0" w:color="auto"/>
              <w:right w:val="single" w:sz="8" w:space="0" w:color="auto"/>
            </w:tcBorders>
            <w:shd w:val="clear" w:color="000000" w:fill="E6E6E6"/>
            <w:noWrap/>
            <w:vAlign w:val="center"/>
            <w:hideMark/>
          </w:tcPr>
          <w:p w14:paraId="588514E9" w14:textId="2047716E" w:rsidR="005E53D5" w:rsidRPr="00E03E2C" w:rsidRDefault="005E53D5"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3 331 624</w:t>
            </w:r>
          </w:p>
        </w:tc>
      </w:tr>
      <w:tr w:rsidR="003F79B1" w:rsidRPr="00E03E2C" w14:paraId="1CAFC240" w14:textId="77777777" w:rsidTr="00745C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1984EC7" w14:textId="77777777" w:rsidR="005E53D5" w:rsidRPr="00E03E2C" w:rsidRDefault="005E53D5" w:rsidP="00DB66D9">
            <w:pPr>
              <w:spacing w:after="40" w:line="264" w:lineRule="auto"/>
              <w:jc w:val="both"/>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 </w:t>
            </w:r>
          </w:p>
        </w:tc>
        <w:tc>
          <w:tcPr>
            <w:tcW w:w="5480" w:type="dxa"/>
            <w:tcBorders>
              <w:top w:val="nil"/>
              <w:left w:val="nil"/>
              <w:bottom w:val="single" w:sz="8" w:space="0" w:color="auto"/>
              <w:right w:val="single" w:sz="8" w:space="0" w:color="auto"/>
            </w:tcBorders>
            <w:shd w:val="clear" w:color="auto" w:fill="auto"/>
            <w:noWrap/>
            <w:vAlign w:val="center"/>
            <w:hideMark/>
          </w:tcPr>
          <w:p w14:paraId="0B12ED3B" w14:textId="77777777" w:rsidR="005E53D5" w:rsidRPr="00E03E2C" w:rsidRDefault="005E53D5" w:rsidP="00DB66D9">
            <w:pPr>
              <w:spacing w:after="40" w:line="264" w:lineRule="auto"/>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 xml:space="preserve">   Персонал</w:t>
            </w:r>
          </w:p>
        </w:tc>
        <w:tc>
          <w:tcPr>
            <w:tcW w:w="960" w:type="dxa"/>
            <w:tcBorders>
              <w:top w:val="nil"/>
              <w:left w:val="nil"/>
              <w:bottom w:val="single" w:sz="8" w:space="0" w:color="auto"/>
              <w:right w:val="single" w:sz="8" w:space="0" w:color="auto"/>
            </w:tcBorders>
            <w:shd w:val="clear" w:color="auto" w:fill="auto"/>
            <w:noWrap/>
            <w:vAlign w:val="center"/>
            <w:hideMark/>
          </w:tcPr>
          <w:p w14:paraId="7023A81A" w14:textId="513D512F" w:rsidR="005E53D5" w:rsidRPr="00E03E2C" w:rsidRDefault="005E53D5"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6 726 200</w:t>
            </w:r>
          </w:p>
        </w:tc>
        <w:tc>
          <w:tcPr>
            <w:tcW w:w="960" w:type="dxa"/>
            <w:tcBorders>
              <w:top w:val="nil"/>
              <w:left w:val="nil"/>
              <w:bottom w:val="single" w:sz="8" w:space="0" w:color="auto"/>
              <w:right w:val="single" w:sz="8" w:space="0" w:color="auto"/>
            </w:tcBorders>
            <w:shd w:val="clear" w:color="auto" w:fill="auto"/>
            <w:noWrap/>
            <w:vAlign w:val="center"/>
            <w:hideMark/>
          </w:tcPr>
          <w:p w14:paraId="22F4EC14" w14:textId="2F7714A0" w:rsidR="005E53D5" w:rsidRPr="00E03E2C" w:rsidRDefault="005E53D5"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6 726 200</w:t>
            </w:r>
          </w:p>
        </w:tc>
        <w:tc>
          <w:tcPr>
            <w:tcW w:w="960" w:type="dxa"/>
            <w:tcBorders>
              <w:top w:val="nil"/>
              <w:left w:val="nil"/>
              <w:bottom w:val="single" w:sz="8" w:space="0" w:color="auto"/>
              <w:right w:val="single" w:sz="8" w:space="0" w:color="auto"/>
            </w:tcBorders>
            <w:shd w:val="clear" w:color="auto" w:fill="auto"/>
            <w:noWrap/>
            <w:vAlign w:val="center"/>
            <w:hideMark/>
          </w:tcPr>
          <w:p w14:paraId="29116DD8" w14:textId="3758F38E" w:rsidR="005E53D5" w:rsidRPr="00E03E2C" w:rsidRDefault="005E53D5"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2 911 165</w:t>
            </w:r>
          </w:p>
        </w:tc>
      </w:tr>
      <w:tr w:rsidR="003F79B1" w:rsidRPr="00E03E2C" w14:paraId="61CEC9EA" w14:textId="77777777" w:rsidTr="00745C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DBBCF5E" w14:textId="77777777" w:rsidR="005E53D5" w:rsidRPr="00E03E2C" w:rsidRDefault="005E53D5" w:rsidP="00DB66D9">
            <w:pPr>
              <w:spacing w:after="40" w:line="264" w:lineRule="auto"/>
              <w:jc w:val="both"/>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 </w:t>
            </w:r>
          </w:p>
        </w:tc>
        <w:tc>
          <w:tcPr>
            <w:tcW w:w="5480" w:type="dxa"/>
            <w:tcBorders>
              <w:top w:val="nil"/>
              <w:left w:val="nil"/>
              <w:bottom w:val="single" w:sz="8" w:space="0" w:color="auto"/>
              <w:right w:val="single" w:sz="8" w:space="0" w:color="auto"/>
            </w:tcBorders>
            <w:shd w:val="clear" w:color="auto" w:fill="auto"/>
            <w:noWrap/>
            <w:vAlign w:val="center"/>
            <w:hideMark/>
          </w:tcPr>
          <w:p w14:paraId="490F12E1" w14:textId="77777777" w:rsidR="005E53D5" w:rsidRPr="00E03E2C" w:rsidRDefault="005E53D5" w:rsidP="00DB66D9">
            <w:pPr>
              <w:spacing w:after="40" w:line="264" w:lineRule="auto"/>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 xml:space="preserve">   Издръжка</w:t>
            </w:r>
          </w:p>
        </w:tc>
        <w:tc>
          <w:tcPr>
            <w:tcW w:w="960" w:type="dxa"/>
            <w:tcBorders>
              <w:top w:val="nil"/>
              <w:left w:val="nil"/>
              <w:bottom w:val="single" w:sz="8" w:space="0" w:color="auto"/>
              <w:right w:val="single" w:sz="8" w:space="0" w:color="auto"/>
            </w:tcBorders>
            <w:shd w:val="clear" w:color="auto" w:fill="auto"/>
            <w:noWrap/>
            <w:vAlign w:val="center"/>
            <w:hideMark/>
          </w:tcPr>
          <w:p w14:paraId="62541163" w14:textId="4ED20AFF" w:rsidR="005E53D5" w:rsidRPr="00E03E2C" w:rsidRDefault="005E53D5"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678 700</w:t>
            </w:r>
          </w:p>
        </w:tc>
        <w:tc>
          <w:tcPr>
            <w:tcW w:w="960" w:type="dxa"/>
            <w:tcBorders>
              <w:top w:val="nil"/>
              <w:left w:val="nil"/>
              <w:bottom w:val="single" w:sz="8" w:space="0" w:color="auto"/>
              <w:right w:val="single" w:sz="8" w:space="0" w:color="auto"/>
            </w:tcBorders>
            <w:shd w:val="clear" w:color="auto" w:fill="auto"/>
            <w:noWrap/>
            <w:vAlign w:val="center"/>
            <w:hideMark/>
          </w:tcPr>
          <w:p w14:paraId="4E2BE006" w14:textId="05B797FB" w:rsidR="005E53D5" w:rsidRPr="00E03E2C" w:rsidRDefault="005E53D5"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678 700</w:t>
            </w:r>
          </w:p>
        </w:tc>
        <w:tc>
          <w:tcPr>
            <w:tcW w:w="960" w:type="dxa"/>
            <w:tcBorders>
              <w:top w:val="nil"/>
              <w:left w:val="nil"/>
              <w:bottom w:val="single" w:sz="8" w:space="0" w:color="auto"/>
              <w:right w:val="single" w:sz="8" w:space="0" w:color="auto"/>
            </w:tcBorders>
            <w:shd w:val="clear" w:color="auto" w:fill="auto"/>
            <w:noWrap/>
            <w:vAlign w:val="center"/>
            <w:hideMark/>
          </w:tcPr>
          <w:p w14:paraId="043E36F3" w14:textId="24972BE7" w:rsidR="005E53D5" w:rsidRPr="00E03E2C" w:rsidRDefault="005E53D5"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417 398</w:t>
            </w:r>
          </w:p>
        </w:tc>
      </w:tr>
      <w:tr w:rsidR="003F79B1" w:rsidRPr="00E03E2C" w14:paraId="67270B5C" w14:textId="77777777" w:rsidTr="00745C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524F457" w14:textId="77777777" w:rsidR="005E53D5" w:rsidRPr="00E03E2C" w:rsidRDefault="005E53D5" w:rsidP="00DB66D9">
            <w:pPr>
              <w:spacing w:after="40" w:line="264" w:lineRule="auto"/>
              <w:jc w:val="both"/>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 </w:t>
            </w:r>
          </w:p>
        </w:tc>
        <w:tc>
          <w:tcPr>
            <w:tcW w:w="5480" w:type="dxa"/>
            <w:tcBorders>
              <w:top w:val="nil"/>
              <w:left w:val="nil"/>
              <w:bottom w:val="single" w:sz="8" w:space="0" w:color="auto"/>
              <w:right w:val="single" w:sz="8" w:space="0" w:color="auto"/>
            </w:tcBorders>
            <w:shd w:val="clear" w:color="auto" w:fill="auto"/>
            <w:noWrap/>
            <w:vAlign w:val="center"/>
            <w:hideMark/>
          </w:tcPr>
          <w:p w14:paraId="05BEA1C0" w14:textId="77777777" w:rsidR="005E53D5" w:rsidRPr="00E03E2C" w:rsidRDefault="005E53D5" w:rsidP="00DB66D9">
            <w:pPr>
              <w:spacing w:after="40" w:line="264" w:lineRule="auto"/>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 xml:space="preserve">   Капиталови разходи</w:t>
            </w:r>
          </w:p>
        </w:tc>
        <w:tc>
          <w:tcPr>
            <w:tcW w:w="960" w:type="dxa"/>
            <w:tcBorders>
              <w:top w:val="nil"/>
              <w:left w:val="nil"/>
              <w:bottom w:val="single" w:sz="8" w:space="0" w:color="auto"/>
              <w:right w:val="single" w:sz="8" w:space="0" w:color="auto"/>
            </w:tcBorders>
            <w:shd w:val="clear" w:color="auto" w:fill="auto"/>
            <w:noWrap/>
            <w:vAlign w:val="center"/>
            <w:hideMark/>
          </w:tcPr>
          <w:p w14:paraId="7D4FE4B0" w14:textId="6305FFBF" w:rsidR="005E53D5" w:rsidRPr="00E03E2C" w:rsidRDefault="005E53D5"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320 000</w:t>
            </w:r>
          </w:p>
        </w:tc>
        <w:tc>
          <w:tcPr>
            <w:tcW w:w="960" w:type="dxa"/>
            <w:tcBorders>
              <w:top w:val="nil"/>
              <w:left w:val="nil"/>
              <w:bottom w:val="single" w:sz="8" w:space="0" w:color="auto"/>
              <w:right w:val="single" w:sz="8" w:space="0" w:color="auto"/>
            </w:tcBorders>
            <w:shd w:val="clear" w:color="auto" w:fill="auto"/>
            <w:noWrap/>
            <w:vAlign w:val="center"/>
            <w:hideMark/>
          </w:tcPr>
          <w:p w14:paraId="7D053F00" w14:textId="241ECD61" w:rsidR="005E53D5" w:rsidRPr="00E03E2C" w:rsidRDefault="005E53D5"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320 000</w:t>
            </w:r>
          </w:p>
        </w:tc>
        <w:tc>
          <w:tcPr>
            <w:tcW w:w="960" w:type="dxa"/>
            <w:tcBorders>
              <w:top w:val="nil"/>
              <w:left w:val="nil"/>
              <w:bottom w:val="single" w:sz="8" w:space="0" w:color="auto"/>
              <w:right w:val="single" w:sz="8" w:space="0" w:color="auto"/>
            </w:tcBorders>
            <w:shd w:val="clear" w:color="auto" w:fill="auto"/>
            <w:noWrap/>
            <w:vAlign w:val="center"/>
            <w:hideMark/>
          </w:tcPr>
          <w:p w14:paraId="4D4EE7FF" w14:textId="356C4299" w:rsidR="005E53D5" w:rsidRPr="00E03E2C" w:rsidRDefault="005E53D5"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3 061</w:t>
            </w:r>
          </w:p>
        </w:tc>
      </w:tr>
      <w:tr w:rsidR="003F79B1" w:rsidRPr="00E03E2C" w14:paraId="3685D7E8" w14:textId="77777777" w:rsidTr="00745CD0">
        <w:trPr>
          <w:trHeight w:val="315"/>
        </w:trPr>
        <w:tc>
          <w:tcPr>
            <w:tcW w:w="960" w:type="dxa"/>
            <w:tcBorders>
              <w:top w:val="nil"/>
              <w:left w:val="single" w:sz="8" w:space="0" w:color="auto"/>
              <w:bottom w:val="single" w:sz="8" w:space="0" w:color="auto"/>
              <w:right w:val="single" w:sz="8" w:space="0" w:color="auto"/>
            </w:tcBorders>
            <w:shd w:val="clear" w:color="000000" w:fill="E6E6E6"/>
            <w:noWrap/>
            <w:vAlign w:val="center"/>
            <w:hideMark/>
          </w:tcPr>
          <w:p w14:paraId="5FEBAD93" w14:textId="77777777" w:rsidR="005E53D5" w:rsidRPr="00E03E2C" w:rsidRDefault="005E53D5" w:rsidP="00DB66D9">
            <w:pPr>
              <w:spacing w:after="40" w:line="264" w:lineRule="auto"/>
              <w:jc w:val="both"/>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lastRenderedPageBreak/>
              <w:t>1</w:t>
            </w:r>
          </w:p>
        </w:tc>
        <w:tc>
          <w:tcPr>
            <w:tcW w:w="5480" w:type="dxa"/>
            <w:tcBorders>
              <w:top w:val="nil"/>
              <w:left w:val="nil"/>
              <w:bottom w:val="single" w:sz="8" w:space="0" w:color="auto"/>
              <w:right w:val="single" w:sz="8" w:space="0" w:color="auto"/>
            </w:tcBorders>
            <w:shd w:val="clear" w:color="000000" w:fill="E6E6E6"/>
            <w:noWrap/>
            <w:vAlign w:val="center"/>
            <w:hideMark/>
          </w:tcPr>
          <w:p w14:paraId="6F6EC27B" w14:textId="77777777" w:rsidR="005E53D5" w:rsidRPr="00E03E2C" w:rsidRDefault="005E53D5" w:rsidP="00DB66D9">
            <w:pPr>
              <w:spacing w:after="40" w:line="264" w:lineRule="auto"/>
              <w:ind w:firstLineChars="300" w:firstLine="540"/>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Ведомствени разходи по бюджета на ПРБ:</w:t>
            </w:r>
          </w:p>
        </w:tc>
        <w:tc>
          <w:tcPr>
            <w:tcW w:w="960" w:type="dxa"/>
            <w:tcBorders>
              <w:top w:val="nil"/>
              <w:left w:val="nil"/>
              <w:bottom w:val="single" w:sz="8" w:space="0" w:color="auto"/>
              <w:right w:val="single" w:sz="8" w:space="0" w:color="auto"/>
            </w:tcBorders>
            <w:shd w:val="clear" w:color="000000" w:fill="E6E6E6"/>
            <w:noWrap/>
            <w:vAlign w:val="center"/>
            <w:hideMark/>
          </w:tcPr>
          <w:p w14:paraId="0727DFF9" w14:textId="3A801D6A" w:rsidR="005E53D5" w:rsidRPr="00E03E2C" w:rsidRDefault="005E53D5"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7 724 900</w:t>
            </w:r>
          </w:p>
        </w:tc>
        <w:tc>
          <w:tcPr>
            <w:tcW w:w="960" w:type="dxa"/>
            <w:tcBorders>
              <w:top w:val="nil"/>
              <w:left w:val="nil"/>
              <w:bottom w:val="single" w:sz="8" w:space="0" w:color="auto"/>
              <w:right w:val="single" w:sz="8" w:space="0" w:color="auto"/>
            </w:tcBorders>
            <w:shd w:val="clear" w:color="000000" w:fill="E6E6E6"/>
            <w:noWrap/>
            <w:vAlign w:val="center"/>
            <w:hideMark/>
          </w:tcPr>
          <w:p w14:paraId="1FC80D87" w14:textId="552B25D2" w:rsidR="005E53D5" w:rsidRPr="00E03E2C" w:rsidRDefault="005E53D5"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7 724 900</w:t>
            </w:r>
          </w:p>
        </w:tc>
        <w:tc>
          <w:tcPr>
            <w:tcW w:w="960" w:type="dxa"/>
            <w:tcBorders>
              <w:top w:val="nil"/>
              <w:left w:val="nil"/>
              <w:bottom w:val="single" w:sz="8" w:space="0" w:color="auto"/>
              <w:right w:val="single" w:sz="8" w:space="0" w:color="auto"/>
            </w:tcBorders>
            <w:shd w:val="clear" w:color="000000" w:fill="E6E6E6"/>
            <w:noWrap/>
            <w:vAlign w:val="center"/>
            <w:hideMark/>
          </w:tcPr>
          <w:p w14:paraId="58BBC51D" w14:textId="18012D39" w:rsidR="005E53D5" w:rsidRPr="00E03E2C" w:rsidRDefault="005E53D5"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3 331 624</w:t>
            </w:r>
          </w:p>
        </w:tc>
      </w:tr>
      <w:tr w:rsidR="003F79B1" w:rsidRPr="00E03E2C" w14:paraId="6AB9A6CF" w14:textId="77777777" w:rsidTr="00745C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7B8A81D" w14:textId="77777777" w:rsidR="005E53D5" w:rsidRPr="00E03E2C" w:rsidRDefault="005E53D5" w:rsidP="00DB66D9">
            <w:pPr>
              <w:spacing w:after="40" w:line="264" w:lineRule="auto"/>
              <w:jc w:val="both"/>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 </w:t>
            </w:r>
          </w:p>
        </w:tc>
        <w:tc>
          <w:tcPr>
            <w:tcW w:w="5480" w:type="dxa"/>
            <w:tcBorders>
              <w:top w:val="nil"/>
              <w:left w:val="nil"/>
              <w:bottom w:val="single" w:sz="8" w:space="0" w:color="auto"/>
              <w:right w:val="single" w:sz="8" w:space="0" w:color="auto"/>
            </w:tcBorders>
            <w:shd w:val="clear" w:color="auto" w:fill="auto"/>
            <w:noWrap/>
            <w:vAlign w:val="center"/>
            <w:hideMark/>
          </w:tcPr>
          <w:p w14:paraId="1216294B" w14:textId="77777777" w:rsidR="005E53D5" w:rsidRPr="00E03E2C" w:rsidRDefault="005E53D5" w:rsidP="00DB66D9">
            <w:pPr>
              <w:spacing w:after="40" w:line="264" w:lineRule="auto"/>
              <w:ind w:firstLineChars="300" w:firstLine="540"/>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 xml:space="preserve">   Персонал</w:t>
            </w:r>
          </w:p>
        </w:tc>
        <w:tc>
          <w:tcPr>
            <w:tcW w:w="960" w:type="dxa"/>
            <w:tcBorders>
              <w:top w:val="nil"/>
              <w:left w:val="nil"/>
              <w:bottom w:val="single" w:sz="8" w:space="0" w:color="auto"/>
              <w:right w:val="single" w:sz="8" w:space="0" w:color="auto"/>
            </w:tcBorders>
            <w:shd w:val="clear" w:color="auto" w:fill="auto"/>
            <w:noWrap/>
            <w:vAlign w:val="center"/>
            <w:hideMark/>
          </w:tcPr>
          <w:p w14:paraId="773AE408" w14:textId="5C13DFCD" w:rsidR="005E53D5" w:rsidRPr="00E03E2C" w:rsidRDefault="005E53D5"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6 726 200</w:t>
            </w:r>
          </w:p>
        </w:tc>
        <w:tc>
          <w:tcPr>
            <w:tcW w:w="960" w:type="dxa"/>
            <w:tcBorders>
              <w:top w:val="nil"/>
              <w:left w:val="nil"/>
              <w:bottom w:val="single" w:sz="8" w:space="0" w:color="auto"/>
              <w:right w:val="single" w:sz="8" w:space="0" w:color="auto"/>
            </w:tcBorders>
            <w:shd w:val="clear" w:color="auto" w:fill="auto"/>
            <w:noWrap/>
            <w:vAlign w:val="center"/>
            <w:hideMark/>
          </w:tcPr>
          <w:p w14:paraId="294AF32E" w14:textId="6251FD1E" w:rsidR="005E53D5" w:rsidRPr="00E03E2C" w:rsidRDefault="005E53D5"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6 726 200</w:t>
            </w:r>
          </w:p>
        </w:tc>
        <w:tc>
          <w:tcPr>
            <w:tcW w:w="960" w:type="dxa"/>
            <w:tcBorders>
              <w:top w:val="nil"/>
              <w:left w:val="nil"/>
              <w:bottom w:val="single" w:sz="8" w:space="0" w:color="auto"/>
              <w:right w:val="single" w:sz="8" w:space="0" w:color="auto"/>
            </w:tcBorders>
            <w:shd w:val="clear" w:color="auto" w:fill="auto"/>
            <w:noWrap/>
            <w:vAlign w:val="center"/>
            <w:hideMark/>
          </w:tcPr>
          <w:p w14:paraId="3B5FF152" w14:textId="631C1822" w:rsidR="005E53D5" w:rsidRPr="00E03E2C" w:rsidRDefault="005E53D5"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2 911 165</w:t>
            </w:r>
          </w:p>
        </w:tc>
      </w:tr>
      <w:tr w:rsidR="003F79B1" w:rsidRPr="00E03E2C" w14:paraId="121D23E2" w14:textId="77777777" w:rsidTr="00745C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F415319" w14:textId="77777777" w:rsidR="005E53D5" w:rsidRPr="00E03E2C" w:rsidRDefault="005E53D5" w:rsidP="00DB66D9">
            <w:pPr>
              <w:spacing w:after="40" w:line="264" w:lineRule="auto"/>
              <w:jc w:val="both"/>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 </w:t>
            </w:r>
          </w:p>
        </w:tc>
        <w:tc>
          <w:tcPr>
            <w:tcW w:w="5480" w:type="dxa"/>
            <w:tcBorders>
              <w:top w:val="nil"/>
              <w:left w:val="nil"/>
              <w:bottom w:val="single" w:sz="8" w:space="0" w:color="auto"/>
              <w:right w:val="single" w:sz="8" w:space="0" w:color="auto"/>
            </w:tcBorders>
            <w:shd w:val="clear" w:color="auto" w:fill="auto"/>
            <w:noWrap/>
            <w:vAlign w:val="center"/>
            <w:hideMark/>
          </w:tcPr>
          <w:p w14:paraId="381DE89C" w14:textId="77777777" w:rsidR="005E53D5" w:rsidRPr="00E03E2C" w:rsidRDefault="005E53D5" w:rsidP="00DB66D9">
            <w:pPr>
              <w:spacing w:after="40" w:line="264" w:lineRule="auto"/>
              <w:ind w:firstLineChars="300" w:firstLine="540"/>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 xml:space="preserve">   Издръжка</w:t>
            </w:r>
          </w:p>
        </w:tc>
        <w:tc>
          <w:tcPr>
            <w:tcW w:w="960" w:type="dxa"/>
            <w:tcBorders>
              <w:top w:val="nil"/>
              <w:left w:val="nil"/>
              <w:bottom w:val="single" w:sz="8" w:space="0" w:color="auto"/>
              <w:right w:val="single" w:sz="8" w:space="0" w:color="auto"/>
            </w:tcBorders>
            <w:shd w:val="clear" w:color="auto" w:fill="auto"/>
            <w:noWrap/>
            <w:vAlign w:val="center"/>
            <w:hideMark/>
          </w:tcPr>
          <w:p w14:paraId="6E716C54" w14:textId="4B122182" w:rsidR="005E53D5" w:rsidRPr="00E03E2C" w:rsidRDefault="005E53D5"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678 700</w:t>
            </w:r>
          </w:p>
        </w:tc>
        <w:tc>
          <w:tcPr>
            <w:tcW w:w="960" w:type="dxa"/>
            <w:tcBorders>
              <w:top w:val="nil"/>
              <w:left w:val="nil"/>
              <w:bottom w:val="single" w:sz="8" w:space="0" w:color="auto"/>
              <w:right w:val="single" w:sz="8" w:space="0" w:color="auto"/>
            </w:tcBorders>
            <w:shd w:val="clear" w:color="auto" w:fill="auto"/>
            <w:noWrap/>
            <w:vAlign w:val="center"/>
            <w:hideMark/>
          </w:tcPr>
          <w:p w14:paraId="1055D38C" w14:textId="00DCBF44" w:rsidR="005E53D5" w:rsidRPr="00E03E2C" w:rsidRDefault="005E53D5"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678 700</w:t>
            </w:r>
          </w:p>
        </w:tc>
        <w:tc>
          <w:tcPr>
            <w:tcW w:w="960" w:type="dxa"/>
            <w:tcBorders>
              <w:top w:val="nil"/>
              <w:left w:val="nil"/>
              <w:bottom w:val="single" w:sz="8" w:space="0" w:color="auto"/>
              <w:right w:val="single" w:sz="8" w:space="0" w:color="auto"/>
            </w:tcBorders>
            <w:shd w:val="clear" w:color="auto" w:fill="auto"/>
            <w:noWrap/>
            <w:vAlign w:val="center"/>
            <w:hideMark/>
          </w:tcPr>
          <w:p w14:paraId="47A14D3E" w14:textId="1315054D" w:rsidR="005E53D5" w:rsidRPr="00E03E2C" w:rsidRDefault="005E53D5"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417 398</w:t>
            </w:r>
          </w:p>
        </w:tc>
      </w:tr>
      <w:tr w:rsidR="003F79B1" w:rsidRPr="00E03E2C" w14:paraId="0855C034" w14:textId="77777777" w:rsidTr="00745C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2F65F36" w14:textId="77777777" w:rsidR="005E53D5" w:rsidRPr="00E03E2C" w:rsidRDefault="005E53D5" w:rsidP="00DB66D9">
            <w:pPr>
              <w:spacing w:after="40" w:line="264" w:lineRule="auto"/>
              <w:jc w:val="both"/>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 </w:t>
            </w:r>
          </w:p>
        </w:tc>
        <w:tc>
          <w:tcPr>
            <w:tcW w:w="5480" w:type="dxa"/>
            <w:tcBorders>
              <w:top w:val="nil"/>
              <w:left w:val="nil"/>
              <w:bottom w:val="single" w:sz="8" w:space="0" w:color="auto"/>
              <w:right w:val="single" w:sz="8" w:space="0" w:color="auto"/>
            </w:tcBorders>
            <w:shd w:val="clear" w:color="auto" w:fill="auto"/>
            <w:noWrap/>
            <w:vAlign w:val="center"/>
            <w:hideMark/>
          </w:tcPr>
          <w:p w14:paraId="40AF4062" w14:textId="77777777" w:rsidR="005E53D5" w:rsidRPr="00E03E2C" w:rsidRDefault="005E53D5" w:rsidP="00DB66D9">
            <w:pPr>
              <w:spacing w:after="40" w:line="264" w:lineRule="auto"/>
              <w:ind w:firstLineChars="300" w:firstLine="540"/>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 xml:space="preserve">   Капиталови разходи</w:t>
            </w:r>
          </w:p>
        </w:tc>
        <w:tc>
          <w:tcPr>
            <w:tcW w:w="960" w:type="dxa"/>
            <w:tcBorders>
              <w:top w:val="nil"/>
              <w:left w:val="nil"/>
              <w:bottom w:val="single" w:sz="8" w:space="0" w:color="auto"/>
              <w:right w:val="single" w:sz="8" w:space="0" w:color="auto"/>
            </w:tcBorders>
            <w:shd w:val="clear" w:color="auto" w:fill="auto"/>
            <w:noWrap/>
            <w:vAlign w:val="center"/>
            <w:hideMark/>
          </w:tcPr>
          <w:p w14:paraId="1E45B810" w14:textId="360227EF" w:rsidR="005E53D5" w:rsidRPr="00E03E2C" w:rsidRDefault="005E53D5"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320 000</w:t>
            </w:r>
          </w:p>
        </w:tc>
        <w:tc>
          <w:tcPr>
            <w:tcW w:w="960" w:type="dxa"/>
            <w:tcBorders>
              <w:top w:val="nil"/>
              <w:left w:val="nil"/>
              <w:bottom w:val="single" w:sz="8" w:space="0" w:color="auto"/>
              <w:right w:val="single" w:sz="8" w:space="0" w:color="auto"/>
            </w:tcBorders>
            <w:shd w:val="clear" w:color="auto" w:fill="auto"/>
            <w:noWrap/>
            <w:vAlign w:val="center"/>
            <w:hideMark/>
          </w:tcPr>
          <w:p w14:paraId="73B2FABA" w14:textId="0123EF48" w:rsidR="005E53D5" w:rsidRPr="00E03E2C" w:rsidRDefault="005E53D5"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320 000</w:t>
            </w:r>
          </w:p>
        </w:tc>
        <w:tc>
          <w:tcPr>
            <w:tcW w:w="960" w:type="dxa"/>
            <w:tcBorders>
              <w:top w:val="nil"/>
              <w:left w:val="nil"/>
              <w:bottom w:val="single" w:sz="8" w:space="0" w:color="auto"/>
              <w:right w:val="single" w:sz="8" w:space="0" w:color="auto"/>
            </w:tcBorders>
            <w:shd w:val="clear" w:color="auto" w:fill="auto"/>
            <w:noWrap/>
            <w:vAlign w:val="center"/>
            <w:hideMark/>
          </w:tcPr>
          <w:p w14:paraId="3449A543" w14:textId="45ED11CE" w:rsidR="005E53D5" w:rsidRPr="00E03E2C" w:rsidRDefault="005E53D5"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3 061</w:t>
            </w:r>
          </w:p>
        </w:tc>
      </w:tr>
      <w:tr w:rsidR="003F79B1" w:rsidRPr="00E03E2C" w14:paraId="2E3EE13B" w14:textId="77777777" w:rsidTr="00505E20">
        <w:trPr>
          <w:trHeight w:val="829"/>
        </w:trPr>
        <w:tc>
          <w:tcPr>
            <w:tcW w:w="960" w:type="dxa"/>
            <w:tcBorders>
              <w:top w:val="single" w:sz="8" w:space="0" w:color="auto"/>
              <w:left w:val="single" w:sz="8" w:space="0" w:color="auto"/>
              <w:bottom w:val="single" w:sz="4" w:space="0" w:color="auto"/>
              <w:right w:val="single" w:sz="8" w:space="0" w:color="auto"/>
            </w:tcBorders>
            <w:shd w:val="clear" w:color="000000" w:fill="E6E6E6"/>
            <w:noWrap/>
            <w:vAlign w:val="center"/>
            <w:hideMark/>
          </w:tcPr>
          <w:p w14:paraId="6749F302" w14:textId="77777777" w:rsidR="00F35816" w:rsidRPr="00E03E2C" w:rsidRDefault="00F35816" w:rsidP="00DB66D9">
            <w:pPr>
              <w:spacing w:after="40" w:line="264" w:lineRule="auto"/>
              <w:jc w:val="center"/>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w:t>
            </w:r>
          </w:p>
        </w:tc>
        <w:tc>
          <w:tcPr>
            <w:tcW w:w="5480" w:type="dxa"/>
            <w:tcBorders>
              <w:top w:val="single" w:sz="8" w:space="0" w:color="auto"/>
              <w:left w:val="nil"/>
              <w:bottom w:val="single" w:sz="4" w:space="0" w:color="auto"/>
              <w:right w:val="single" w:sz="8" w:space="0" w:color="auto"/>
            </w:tcBorders>
            <w:shd w:val="clear" w:color="000000" w:fill="E6E6E6"/>
            <w:vAlign w:val="bottom"/>
            <w:hideMark/>
          </w:tcPr>
          <w:p w14:paraId="1AFC8180" w14:textId="77777777" w:rsidR="00F35816" w:rsidRPr="00E03E2C" w:rsidRDefault="00F35816" w:rsidP="00DB66D9">
            <w:pPr>
              <w:spacing w:after="40" w:line="264" w:lineRule="auto"/>
              <w:jc w:val="both"/>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4200.01.01 Бюджетна програма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960" w:type="dxa"/>
            <w:tcBorders>
              <w:top w:val="single" w:sz="8" w:space="0" w:color="auto"/>
              <w:left w:val="single" w:sz="8" w:space="0" w:color="auto"/>
              <w:bottom w:val="single" w:sz="4" w:space="0" w:color="auto"/>
              <w:right w:val="single" w:sz="8" w:space="0" w:color="auto"/>
            </w:tcBorders>
            <w:shd w:val="clear" w:color="000000" w:fill="E6E6E6"/>
            <w:vAlign w:val="center"/>
            <w:hideMark/>
          </w:tcPr>
          <w:p w14:paraId="6400C2F2" w14:textId="77777777" w:rsidR="00F35816" w:rsidRPr="00E03E2C" w:rsidRDefault="00F35816" w:rsidP="00DB66D9">
            <w:pPr>
              <w:spacing w:after="40" w:line="264" w:lineRule="auto"/>
              <w:jc w:val="center"/>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Закон</w:t>
            </w:r>
          </w:p>
        </w:tc>
        <w:tc>
          <w:tcPr>
            <w:tcW w:w="960" w:type="dxa"/>
            <w:tcBorders>
              <w:top w:val="single" w:sz="8" w:space="0" w:color="auto"/>
              <w:left w:val="single" w:sz="8" w:space="0" w:color="auto"/>
              <w:bottom w:val="single" w:sz="4" w:space="0" w:color="auto"/>
              <w:right w:val="single" w:sz="8" w:space="0" w:color="auto"/>
            </w:tcBorders>
            <w:shd w:val="clear" w:color="000000" w:fill="E6E6E6"/>
            <w:vAlign w:val="center"/>
            <w:hideMark/>
          </w:tcPr>
          <w:p w14:paraId="0C43A7A4" w14:textId="77777777" w:rsidR="00F35816" w:rsidRPr="00E03E2C" w:rsidRDefault="00F35816" w:rsidP="00DB66D9">
            <w:pPr>
              <w:spacing w:after="40" w:line="264" w:lineRule="auto"/>
              <w:jc w:val="center"/>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Уточнен план</w:t>
            </w:r>
          </w:p>
        </w:tc>
        <w:tc>
          <w:tcPr>
            <w:tcW w:w="960" w:type="dxa"/>
            <w:tcBorders>
              <w:top w:val="single" w:sz="8" w:space="0" w:color="auto"/>
              <w:left w:val="single" w:sz="8" w:space="0" w:color="auto"/>
              <w:bottom w:val="single" w:sz="8" w:space="0" w:color="000000"/>
              <w:right w:val="single" w:sz="8" w:space="0" w:color="auto"/>
            </w:tcBorders>
            <w:shd w:val="clear" w:color="000000" w:fill="E6E6E6"/>
            <w:vAlign w:val="center"/>
            <w:hideMark/>
          </w:tcPr>
          <w:p w14:paraId="1A82FD5F" w14:textId="77777777" w:rsidR="00F35816" w:rsidRPr="00E03E2C" w:rsidRDefault="00F35816" w:rsidP="00DB66D9">
            <w:pPr>
              <w:spacing w:after="40" w:line="264" w:lineRule="auto"/>
              <w:jc w:val="center"/>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Отчет</w:t>
            </w:r>
          </w:p>
        </w:tc>
      </w:tr>
      <w:tr w:rsidR="003F79B1" w:rsidRPr="00E03E2C" w14:paraId="039E0E7E" w14:textId="77777777" w:rsidTr="00B20006">
        <w:trPr>
          <w:trHeight w:val="315"/>
        </w:trPr>
        <w:tc>
          <w:tcPr>
            <w:tcW w:w="960" w:type="dxa"/>
            <w:tcBorders>
              <w:top w:val="nil"/>
              <w:left w:val="single" w:sz="8" w:space="0" w:color="auto"/>
              <w:bottom w:val="single" w:sz="8" w:space="0" w:color="auto"/>
              <w:right w:val="single" w:sz="8" w:space="0" w:color="auto"/>
            </w:tcBorders>
            <w:shd w:val="clear" w:color="000000" w:fill="E6E6E6"/>
            <w:noWrap/>
            <w:vAlign w:val="center"/>
            <w:hideMark/>
          </w:tcPr>
          <w:p w14:paraId="5CBB3B98" w14:textId="77777777" w:rsidR="003A5974" w:rsidRPr="00E03E2C" w:rsidRDefault="003A5974" w:rsidP="00DB66D9">
            <w:pPr>
              <w:spacing w:after="40" w:line="264" w:lineRule="auto"/>
              <w:jc w:val="both"/>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2</w:t>
            </w:r>
          </w:p>
        </w:tc>
        <w:tc>
          <w:tcPr>
            <w:tcW w:w="5480" w:type="dxa"/>
            <w:tcBorders>
              <w:top w:val="nil"/>
              <w:left w:val="nil"/>
              <w:bottom w:val="single" w:sz="8" w:space="0" w:color="auto"/>
              <w:right w:val="single" w:sz="8" w:space="0" w:color="auto"/>
            </w:tcBorders>
            <w:shd w:val="clear" w:color="000000" w:fill="E6E6E6"/>
            <w:noWrap/>
            <w:vAlign w:val="center"/>
            <w:hideMark/>
          </w:tcPr>
          <w:p w14:paraId="15EA129C" w14:textId="77777777" w:rsidR="003A5974" w:rsidRPr="00E03E2C" w:rsidRDefault="003A5974" w:rsidP="00DB66D9">
            <w:pPr>
              <w:spacing w:after="40" w:line="264" w:lineRule="auto"/>
              <w:ind w:firstLineChars="300" w:firstLine="540"/>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 xml:space="preserve">Ведомствени разходи по други бюджети и сметки за средства от ЕС </w:t>
            </w:r>
          </w:p>
        </w:tc>
        <w:tc>
          <w:tcPr>
            <w:tcW w:w="960" w:type="dxa"/>
            <w:tcBorders>
              <w:top w:val="nil"/>
              <w:left w:val="nil"/>
              <w:bottom w:val="single" w:sz="8" w:space="0" w:color="auto"/>
              <w:right w:val="single" w:sz="8" w:space="0" w:color="auto"/>
            </w:tcBorders>
            <w:shd w:val="clear" w:color="000000" w:fill="E6E6E6"/>
            <w:noWrap/>
            <w:vAlign w:val="center"/>
            <w:hideMark/>
          </w:tcPr>
          <w:p w14:paraId="4FD89CB9" w14:textId="4A6E90DC" w:rsidR="003A5974" w:rsidRPr="00E03E2C" w:rsidRDefault="002470DF"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0</w:t>
            </w:r>
          </w:p>
        </w:tc>
        <w:tc>
          <w:tcPr>
            <w:tcW w:w="960" w:type="dxa"/>
            <w:tcBorders>
              <w:top w:val="nil"/>
              <w:left w:val="nil"/>
              <w:bottom w:val="single" w:sz="8" w:space="0" w:color="auto"/>
              <w:right w:val="single" w:sz="8" w:space="0" w:color="auto"/>
            </w:tcBorders>
            <w:shd w:val="clear" w:color="000000" w:fill="E6E6E6"/>
            <w:noWrap/>
            <w:vAlign w:val="center"/>
            <w:hideMark/>
          </w:tcPr>
          <w:p w14:paraId="44014BEF" w14:textId="385A7382" w:rsidR="003A5974" w:rsidRPr="00E03E2C" w:rsidRDefault="0025455B"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0</w:t>
            </w:r>
          </w:p>
        </w:tc>
        <w:tc>
          <w:tcPr>
            <w:tcW w:w="960" w:type="dxa"/>
            <w:tcBorders>
              <w:top w:val="nil"/>
              <w:left w:val="nil"/>
              <w:bottom w:val="single" w:sz="8" w:space="0" w:color="auto"/>
              <w:right w:val="single" w:sz="8" w:space="0" w:color="auto"/>
            </w:tcBorders>
            <w:shd w:val="clear" w:color="000000" w:fill="E6E6E6"/>
            <w:noWrap/>
            <w:vAlign w:val="center"/>
            <w:hideMark/>
          </w:tcPr>
          <w:p w14:paraId="00CAEACB" w14:textId="63EACE4C" w:rsidR="003A5974" w:rsidRPr="00E03E2C" w:rsidRDefault="0061078A"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0</w:t>
            </w:r>
          </w:p>
        </w:tc>
      </w:tr>
      <w:tr w:rsidR="003F79B1" w:rsidRPr="00E03E2C" w14:paraId="4FAADF17" w14:textId="77777777" w:rsidTr="00B20006">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19EB9B6" w14:textId="77777777" w:rsidR="003A5974" w:rsidRPr="00E03E2C" w:rsidRDefault="003A5974" w:rsidP="00DB66D9">
            <w:pPr>
              <w:spacing w:after="40" w:line="264" w:lineRule="auto"/>
              <w:jc w:val="both"/>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 </w:t>
            </w:r>
          </w:p>
        </w:tc>
        <w:tc>
          <w:tcPr>
            <w:tcW w:w="5480" w:type="dxa"/>
            <w:tcBorders>
              <w:top w:val="single" w:sz="4" w:space="0" w:color="auto"/>
              <w:left w:val="nil"/>
              <w:bottom w:val="single" w:sz="8" w:space="0" w:color="auto"/>
              <w:right w:val="single" w:sz="8" w:space="0" w:color="auto"/>
            </w:tcBorders>
            <w:shd w:val="clear" w:color="auto" w:fill="auto"/>
            <w:noWrap/>
            <w:vAlign w:val="center"/>
            <w:hideMark/>
          </w:tcPr>
          <w:p w14:paraId="21475A76" w14:textId="77777777" w:rsidR="003A5974" w:rsidRPr="00E03E2C" w:rsidRDefault="003A5974" w:rsidP="00DB66D9">
            <w:pPr>
              <w:spacing w:after="40" w:line="264" w:lineRule="auto"/>
              <w:ind w:firstLineChars="300" w:firstLine="540"/>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 xml:space="preserve">   Персонал</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49662534" w14:textId="20F4EEF5" w:rsidR="003A5974" w:rsidRPr="00E03E2C" w:rsidRDefault="00142A8C"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0</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14:paraId="6EAE088A" w14:textId="5EA6523D" w:rsidR="003A5974" w:rsidRPr="00E03E2C" w:rsidRDefault="00142A8C"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0</w:t>
            </w:r>
          </w:p>
        </w:tc>
        <w:tc>
          <w:tcPr>
            <w:tcW w:w="960" w:type="dxa"/>
            <w:tcBorders>
              <w:top w:val="nil"/>
              <w:left w:val="nil"/>
              <w:bottom w:val="single" w:sz="8" w:space="0" w:color="auto"/>
              <w:right w:val="single" w:sz="8" w:space="0" w:color="auto"/>
            </w:tcBorders>
            <w:shd w:val="clear" w:color="auto" w:fill="auto"/>
            <w:noWrap/>
            <w:vAlign w:val="center"/>
            <w:hideMark/>
          </w:tcPr>
          <w:p w14:paraId="258A8F5E" w14:textId="77777777" w:rsidR="003A5974" w:rsidRPr="00E03E2C" w:rsidRDefault="003A5974"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0</w:t>
            </w:r>
          </w:p>
        </w:tc>
      </w:tr>
      <w:tr w:rsidR="003F79B1" w:rsidRPr="00E03E2C" w14:paraId="552ABAEB" w14:textId="77777777" w:rsidTr="00745C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93D5C4E" w14:textId="77777777" w:rsidR="003A5974" w:rsidRPr="00E03E2C" w:rsidRDefault="003A5974" w:rsidP="00DB66D9">
            <w:pPr>
              <w:spacing w:after="40" w:line="264" w:lineRule="auto"/>
              <w:jc w:val="both"/>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 </w:t>
            </w:r>
          </w:p>
        </w:tc>
        <w:tc>
          <w:tcPr>
            <w:tcW w:w="5480" w:type="dxa"/>
            <w:tcBorders>
              <w:top w:val="nil"/>
              <w:left w:val="nil"/>
              <w:bottom w:val="single" w:sz="8" w:space="0" w:color="auto"/>
              <w:right w:val="single" w:sz="8" w:space="0" w:color="auto"/>
            </w:tcBorders>
            <w:shd w:val="clear" w:color="auto" w:fill="auto"/>
            <w:noWrap/>
            <w:vAlign w:val="center"/>
            <w:hideMark/>
          </w:tcPr>
          <w:p w14:paraId="720B0C33" w14:textId="77777777" w:rsidR="003A5974" w:rsidRPr="00E03E2C" w:rsidRDefault="003A5974" w:rsidP="00DB66D9">
            <w:pPr>
              <w:spacing w:after="40" w:line="264" w:lineRule="auto"/>
              <w:ind w:firstLineChars="300" w:firstLine="540"/>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 xml:space="preserve">   Издръжка</w:t>
            </w:r>
          </w:p>
        </w:tc>
        <w:tc>
          <w:tcPr>
            <w:tcW w:w="960" w:type="dxa"/>
            <w:tcBorders>
              <w:top w:val="nil"/>
              <w:left w:val="nil"/>
              <w:bottom w:val="single" w:sz="8" w:space="0" w:color="auto"/>
              <w:right w:val="single" w:sz="8" w:space="0" w:color="auto"/>
            </w:tcBorders>
            <w:shd w:val="clear" w:color="auto" w:fill="auto"/>
            <w:noWrap/>
            <w:vAlign w:val="center"/>
            <w:hideMark/>
          </w:tcPr>
          <w:p w14:paraId="2CE00800" w14:textId="77777777" w:rsidR="003A5974" w:rsidRPr="00E03E2C" w:rsidRDefault="003A5974"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0</w:t>
            </w:r>
          </w:p>
        </w:tc>
        <w:tc>
          <w:tcPr>
            <w:tcW w:w="960" w:type="dxa"/>
            <w:tcBorders>
              <w:top w:val="nil"/>
              <w:left w:val="nil"/>
              <w:bottom w:val="single" w:sz="8" w:space="0" w:color="auto"/>
              <w:right w:val="single" w:sz="8" w:space="0" w:color="auto"/>
            </w:tcBorders>
            <w:shd w:val="clear" w:color="auto" w:fill="auto"/>
            <w:noWrap/>
            <w:vAlign w:val="center"/>
            <w:hideMark/>
          </w:tcPr>
          <w:p w14:paraId="299FAB10" w14:textId="77777777" w:rsidR="003A5974" w:rsidRPr="00E03E2C" w:rsidRDefault="003A5974"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0</w:t>
            </w:r>
          </w:p>
        </w:tc>
        <w:tc>
          <w:tcPr>
            <w:tcW w:w="960" w:type="dxa"/>
            <w:tcBorders>
              <w:top w:val="nil"/>
              <w:left w:val="nil"/>
              <w:bottom w:val="single" w:sz="8" w:space="0" w:color="auto"/>
              <w:right w:val="single" w:sz="8" w:space="0" w:color="auto"/>
            </w:tcBorders>
            <w:shd w:val="clear" w:color="auto" w:fill="auto"/>
            <w:noWrap/>
            <w:vAlign w:val="center"/>
            <w:hideMark/>
          </w:tcPr>
          <w:p w14:paraId="6D724E17" w14:textId="6A1018EB" w:rsidR="003A5974" w:rsidRPr="00E03E2C" w:rsidRDefault="0061078A"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0</w:t>
            </w:r>
          </w:p>
        </w:tc>
      </w:tr>
      <w:tr w:rsidR="003F79B1" w:rsidRPr="00E03E2C" w14:paraId="2DE57515" w14:textId="77777777" w:rsidTr="00745C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351BF3B" w14:textId="77777777" w:rsidR="003A5974" w:rsidRPr="00E03E2C" w:rsidRDefault="003A5974" w:rsidP="00DB66D9">
            <w:pPr>
              <w:spacing w:after="40" w:line="264" w:lineRule="auto"/>
              <w:jc w:val="both"/>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 </w:t>
            </w:r>
          </w:p>
        </w:tc>
        <w:tc>
          <w:tcPr>
            <w:tcW w:w="5480" w:type="dxa"/>
            <w:tcBorders>
              <w:top w:val="nil"/>
              <w:left w:val="nil"/>
              <w:bottom w:val="single" w:sz="8" w:space="0" w:color="auto"/>
              <w:right w:val="single" w:sz="8" w:space="0" w:color="auto"/>
            </w:tcBorders>
            <w:shd w:val="clear" w:color="auto" w:fill="auto"/>
            <w:noWrap/>
            <w:vAlign w:val="center"/>
            <w:hideMark/>
          </w:tcPr>
          <w:p w14:paraId="52222FEC" w14:textId="77777777" w:rsidR="003A5974" w:rsidRPr="00E03E2C" w:rsidRDefault="003A5974" w:rsidP="00DB66D9">
            <w:pPr>
              <w:spacing w:after="40" w:line="264" w:lineRule="auto"/>
              <w:ind w:firstLineChars="300" w:firstLine="540"/>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 xml:space="preserve">   Капиталови разходи</w:t>
            </w:r>
          </w:p>
        </w:tc>
        <w:tc>
          <w:tcPr>
            <w:tcW w:w="960" w:type="dxa"/>
            <w:tcBorders>
              <w:top w:val="nil"/>
              <w:left w:val="nil"/>
              <w:bottom w:val="single" w:sz="8" w:space="0" w:color="auto"/>
              <w:right w:val="single" w:sz="8" w:space="0" w:color="auto"/>
            </w:tcBorders>
            <w:shd w:val="clear" w:color="auto" w:fill="auto"/>
            <w:noWrap/>
            <w:vAlign w:val="center"/>
            <w:hideMark/>
          </w:tcPr>
          <w:p w14:paraId="04954362" w14:textId="77777777" w:rsidR="003A5974" w:rsidRPr="00E03E2C" w:rsidRDefault="003A5974"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0</w:t>
            </w:r>
          </w:p>
        </w:tc>
        <w:tc>
          <w:tcPr>
            <w:tcW w:w="960" w:type="dxa"/>
            <w:tcBorders>
              <w:top w:val="nil"/>
              <w:left w:val="nil"/>
              <w:bottom w:val="single" w:sz="8" w:space="0" w:color="auto"/>
              <w:right w:val="single" w:sz="8" w:space="0" w:color="auto"/>
            </w:tcBorders>
            <w:shd w:val="clear" w:color="auto" w:fill="auto"/>
            <w:noWrap/>
            <w:vAlign w:val="center"/>
            <w:hideMark/>
          </w:tcPr>
          <w:p w14:paraId="6D46C77D" w14:textId="77777777" w:rsidR="003A5974" w:rsidRPr="00E03E2C" w:rsidRDefault="003A5974"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0</w:t>
            </w:r>
          </w:p>
        </w:tc>
        <w:tc>
          <w:tcPr>
            <w:tcW w:w="960" w:type="dxa"/>
            <w:tcBorders>
              <w:top w:val="nil"/>
              <w:left w:val="nil"/>
              <w:bottom w:val="single" w:sz="8" w:space="0" w:color="auto"/>
              <w:right w:val="single" w:sz="8" w:space="0" w:color="auto"/>
            </w:tcBorders>
            <w:shd w:val="clear" w:color="auto" w:fill="auto"/>
            <w:noWrap/>
            <w:vAlign w:val="center"/>
            <w:hideMark/>
          </w:tcPr>
          <w:p w14:paraId="4F5FEBCA" w14:textId="77777777" w:rsidR="003A5974" w:rsidRPr="00E03E2C" w:rsidRDefault="003A5974"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0</w:t>
            </w:r>
          </w:p>
        </w:tc>
      </w:tr>
      <w:tr w:rsidR="003F79B1" w:rsidRPr="00E03E2C" w14:paraId="1DE008B2" w14:textId="77777777" w:rsidTr="00745CD0">
        <w:trPr>
          <w:trHeight w:val="315"/>
        </w:trPr>
        <w:tc>
          <w:tcPr>
            <w:tcW w:w="960" w:type="dxa"/>
            <w:tcBorders>
              <w:top w:val="nil"/>
              <w:left w:val="single" w:sz="8" w:space="0" w:color="auto"/>
              <w:bottom w:val="single" w:sz="8" w:space="0" w:color="auto"/>
              <w:right w:val="single" w:sz="8" w:space="0" w:color="auto"/>
            </w:tcBorders>
            <w:shd w:val="clear" w:color="000000" w:fill="E6E6E6"/>
            <w:noWrap/>
            <w:vAlign w:val="center"/>
            <w:hideMark/>
          </w:tcPr>
          <w:p w14:paraId="358FE037" w14:textId="77777777" w:rsidR="003A5974" w:rsidRPr="00E03E2C" w:rsidRDefault="003A5974" w:rsidP="00DB66D9">
            <w:pPr>
              <w:spacing w:after="40" w:line="264" w:lineRule="auto"/>
              <w:jc w:val="both"/>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ІІ.</w:t>
            </w:r>
          </w:p>
        </w:tc>
        <w:tc>
          <w:tcPr>
            <w:tcW w:w="5480" w:type="dxa"/>
            <w:tcBorders>
              <w:top w:val="nil"/>
              <w:left w:val="nil"/>
              <w:bottom w:val="single" w:sz="8" w:space="0" w:color="auto"/>
              <w:right w:val="single" w:sz="8" w:space="0" w:color="auto"/>
            </w:tcBorders>
            <w:shd w:val="clear" w:color="000000" w:fill="E6E6E6"/>
            <w:noWrap/>
            <w:vAlign w:val="center"/>
            <w:hideMark/>
          </w:tcPr>
          <w:p w14:paraId="6B996D2D" w14:textId="77777777" w:rsidR="003A5974" w:rsidRPr="00E03E2C" w:rsidRDefault="003A5974" w:rsidP="00DB66D9">
            <w:pPr>
              <w:spacing w:after="40" w:line="264" w:lineRule="auto"/>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 xml:space="preserve">Администрирани разходни параграфи по бюджета </w:t>
            </w:r>
          </w:p>
        </w:tc>
        <w:tc>
          <w:tcPr>
            <w:tcW w:w="960" w:type="dxa"/>
            <w:tcBorders>
              <w:top w:val="nil"/>
              <w:left w:val="nil"/>
              <w:bottom w:val="single" w:sz="8" w:space="0" w:color="auto"/>
              <w:right w:val="single" w:sz="8" w:space="0" w:color="auto"/>
            </w:tcBorders>
            <w:shd w:val="clear" w:color="000000" w:fill="E6E6E6"/>
            <w:noWrap/>
            <w:vAlign w:val="center"/>
            <w:hideMark/>
          </w:tcPr>
          <w:p w14:paraId="77FE5752" w14:textId="77777777" w:rsidR="003A5974" w:rsidRPr="00E03E2C" w:rsidRDefault="003A5974"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0</w:t>
            </w:r>
          </w:p>
        </w:tc>
        <w:tc>
          <w:tcPr>
            <w:tcW w:w="960" w:type="dxa"/>
            <w:tcBorders>
              <w:top w:val="nil"/>
              <w:left w:val="nil"/>
              <w:bottom w:val="single" w:sz="8" w:space="0" w:color="auto"/>
              <w:right w:val="single" w:sz="8" w:space="0" w:color="auto"/>
            </w:tcBorders>
            <w:shd w:val="clear" w:color="000000" w:fill="E6E6E6"/>
            <w:noWrap/>
            <w:vAlign w:val="center"/>
            <w:hideMark/>
          </w:tcPr>
          <w:p w14:paraId="7368EE48" w14:textId="77777777" w:rsidR="003A5974" w:rsidRPr="00E03E2C" w:rsidRDefault="003A5974"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0</w:t>
            </w:r>
          </w:p>
        </w:tc>
        <w:tc>
          <w:tcPr>
            <w:tcW w:w="960" w:type="dxa"/>
            <w:tcBorders>
              <w:top w:val="nil"/>
              <w:left w:val="nil"/>
              <w:bottom w:val="single" w:sz="8" w:space="0" w:color="auto"/>
              <w:right w:val="single" w:sz="8" w:space="0" w:color="auto"/>
            </w:tcBorders>
            <w:shd w:val="clear" w:color="000000" w:fill="E6E6E6"/>
            <w:noWrap/>
            <w:vAlign w:val="center"/>
            <w:hideMark/>
          </w:tcPr>
          <w:p w14:paraId="1B8A25FD" w14:textId="77777777" w:rsidR="003A5974" w:rsidRPr="00E03E2C" w:rsidRDefault="003A5974"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0</w:t>
            </w:r>
          </w:p>
        </w:tc>
      </w:tr>
      <w:tr w:rsidR="003F79B1" w:rsidRPr="00E03E2C" w14:paraId="4635EBD5" w14:textId="77777777" w:rsidTr="00745CD0">
        <w:trPr>
          <w:trHeight w:val="315"/>
        </w:trPr>
        <w:tc>
          <w:tcPr>
            <w:tcW w:w="960" w:type="dxa"/>
            <w:tcBorders>
              <w:top w:val="nil"/>
              <w:left w:val="single" w:sz="8" w:space="0" w:color="auto"/>
              <w:bottom w:val="single" w:sz="8" w:space="0" w:color="auto"/>
              <w:right w:val="single" w:sz="8" w:space="0" w:color="auto"/>
            </w:tcBorders>
            <w:shd w:val="clear" w:color="000000" w:fill="E6E6E6"/>
            <w:noWrap/>
            <w:vAlign w:val="center"/>
            <w:hideMark/>
          </w:tcPr>
          <w:p w14:paraId="23E3DC36" w14:textId="77777777" w:rsidR="003A5974" w:rsidRPr="00E03E2C" w:rsidRDefault="003A5974" w:rsidP="00DB66D9">
            <w:pPr>
              <w:spacing w:after="40" w:line="264" w:lineRule="auto"/>
              <w:jc w:val="both"/>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ІІІ.</w:t>
            </w:r>
          </w:p>
        </w:tc>
        <w:tc>
          <w:tcPr>
            <w:tcW w:w="5480" w:type="dxa"/>
            <w:tcBorders>
              <w:top w:val="nil"/>
              <w:left w:val="nil"/>
              <w:bottom w:val="single" w:sz="8" w:space="0" w:color="auto"/>
              <w:right w:val="single" w:sz="8" w:space="0" w:color="auto"/>
            </w:tcBorders>
            <w:shd w:val="clear" w:color="000000" w:fill="E6E6E6"/>
            <w:noWrap/>
            <w:vAlign w:val="center"/>
            <w:hideMark/>
          </w:tcPr>
          <w:p w14:paraId="7783BA16" w14:textId="77777777" w:rsidR="003A5974" w:rsidRPr="00E03E2C" w:rsidRDefault="003A5974" w:rsidP="00DB66D9">
            <w:pPr>
              <w:spacing w:after="40" w:line="264" w:lineRule="auto"/>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Администрирани разходни параграфи по други бюджети и сметки за средства от ЕС</w:t>
            </w:r>
          </w:p>
        </w:tc>
        <w:tc>
          <w:tcPr>
            <w:tcW w:w="960" w:type="dxa"/>
            <w:tcBorders>
              <w:top w:val="nil"/>
              <w:left w:val="nil"/>
              <w:bottom w:val="single" w:sz="8" w:space="0" w:color="auto"/>
              <w:right w:val="single" w:sz="8" w:space="0" w:color="auto"/>
            </w:tcBorders>
            <w:shd w:val="clear" w:color="000000" w:fill="E6E6E6"/>
            <w:noWrap/>
            <w:vAlign w:val="center"/>
            <w:hideMark/>
          </w:tcPr>
          <w:p w14:paraId="1386E038" w14:textId="77777777" w:rsidR="003A5974" w:rsidRPr="00E03E2C" w:rsidRDefault="003A5974"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0</w:t>
            </w:r>
          </w:p>
        </w:tc>
        <w:tc>
          <w:tcPr>
            <w:tcW w:w="960" w:type="dxa"/>
            <w:tcBorders>
              <w:top w:val="nil"/>
              <w:left w:val="nil"/>
              <w:bottom w:val="single" w:sz="8" w:space="0" w:color="auto"/>
              <w:right w:val="single" w:sz="8" w:space="0" w:color="auto"/>
            </w:tcBorders>
            <w:shd w:val="clear" w:color="000000" w:fill="E6E6E6"/>
            <w:noWrap/>
            <w:vAlign w:val="center"/>
            <w:hideMark/>
          </w:tcPr>
          <w:p w14:paraId="3854927F" w14:textId="77777777" w:rsidR="003A5974" w:rsidRPr="00E03E2C" w:rsidRDefault="003A5974"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0</w:t>
            </w:r>
          </w:p>
        </w:tc>
        <w:tc>
          <w:tcPr>
            <w:tcW w:w="960" w:type="dxa"/>
            <w:tcBorders>
              <w:top w:val="nil"/>
              <w:left w:val="nil"/>
              <w:bottom w:val="single" w:sz="8" w:space="0" w:color="auto"/>
              <w:right w:val="single" w:sz="8" w:space="0" w:color="auto"/>
            </w:tcBorders>
            <w:shd w:val="clear" w:color="000000" w:fill="E6E6E6"/>
            <w:noWrap/>
            <w:vAlign w:val="center"/>
            <w:hideMark/>
          </w:tcPr>
          <w:p w14:paraId="1F84D6EC" w14:textId="77777777" w:rsidR="003A5974" w:rsidRPr="00E03E2C" w:rsidRDefault="003A5974"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0</w:t>
            </w:r>
          </w:p>
        </w:tc>
      </w:tr>
      <w:tr w:rsidR="003F79B1" w:rsidRPr="00E03E2C" w14:paraId="3913537F" w14:textId="77777777" w:rsidTr="00745CD0">
        <w:trPr>
          <w:trHeight w:val="315"/>
        </w:trPr>
        <w:tc>
          <w:tcPr>
            <w:tcW w:w="960" w:type="dxa"/>
            <w:tcBorders>
              <w:top w:val="nil"/>
              <w:left w:val="single" w:sz="8" w:space="0" w:color="auto"/>
              <w:bottom w:val="single" w:sz="8" w:space="0" w:color="auto"/>
              <w:right w:val="single" w:sz="8" w:space="0" w:color="auto"/>
            </w:tcBorders>
            <w:shd w:val="clear" w:color="000000" w:fill="E6E6E6"/>
            <w:noWrap/>
            <w:vAlign w:val="center"/>
            <w:hideMark/>
          </w:tcPr>
          <w:p w14:paraId="67F64959" w14:textId="77777777" w:rsidR="003A5974" w:rsidRPr="00E03E2C" w:rsidRDefault="003A5974" w:rsidP="00DB66D9">
            <w:pPr>
              <w:spacing w:after="40" w:line="264" w:lineRule="auto"/>
              <w:jc w:val="both"/>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 </w:t>
            </w:r>
          </w:p>
        </w:tc>
        <w:tc>
          <w:tcPr>
            <w:tcW w:w="5480" w:type="dxa"/>
            <w:tcBorders>
              <w:top w:val="nil"/>
              <w:left w:val="nil"/>
              <w:bottom w:val="single" w:sz="8" w:space="0" w:color="auto"/>
              <w:right w:val="single" w:sz="8" w:space="0" w:color="auto"/>
            </w:tcBorders>
            <w:shd w:val="clear" w:color="000000" w:fill="E6E6E6"/>
            <w:noWrap/>
            <w:vAlign w:val="center"/>
            <w:hideMark/>
          </w:tcPr>
          <w:p w14:paraId="6E68DC5B" w14:textId="77777777" w:rsidR="003A5974" w:rsidRPr="00E03E2C" w:rsidRDefault="003A5974" w:rsidP="00DB66D9">
            <w:pPr>
              <w:spacing w:after="40" w:line="264" w:lineRule="auto"/>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Общо администрирани разходи (ІІ+ІІІ):</w:t>
            </w:r>
          </w:p>
        </w:tc>
        <w:tc>
          <w:tcPr>
            <w:tcW w:w="960" w:type="dxa"/>
            <w:tcBorders>
              <w:top w:val="nil"/>
              <w:left w:val="nil"/>
              <w:bottom w:val="single" w:sz="8" w:space="0" w:color="auto"/>
              <w:right w:val="single" w:sz="8" w:space="0" w:color="auto"/>
            </w:tcBorders>
            <w:shd w:val="clear" w:color="000000" w:fill="E6E6E6"/>
            <w:noWrap/>
            <w:vAlign w:val="center"/>
            <w:hideMark/>
          </w:tcPr>
          <w:p w14:paraId="47DA8705" w14:textId="77777777" w:rsidR="003A5974" w:rsidRPr="00E03E2C" w:rsidRDefault="003A5974"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0</w:t>
            </w:r>
          </w:p>
        </w:tc>
        <w:tc>
          <w:tcPr>
            <w:tcW w:w="960" w:type="dxa"/>
            <w:tcBorders>
              <w:top w:val="nil"/>
              <w:left w:val="nil"/>
              <w:bottom w:val="single" w:sz="8" w:space="0" w:color="auto"/>
              <w:right w:val="single" w:sz="8" w:space="0" w:color="auto"/>
            </w:tcBorders>
            <w:shd w:val="clear" w:color="000000" w:fill="E6E6E6"/>
            <w:noWrap/>
            <w:vAlign w:val="center"/>
            <w:hideMark/>
          </w:tcPr>
          <w:p w14:paraId="257A9D50" w14:textId="77777777" w:rsidR="003A5974" w:rsidRPr="00E03E2C" w:rsidRDefault="003A5974"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0</w:t>
            </w:r>
          </w:p>
        </w:tc>
        <w:tc>
          <w:tcPr>
            <w:tcW w:w="960" w:type="dxa"/>
            <w:tcBorders>
              <w:top w:val="nil"/>
              <w:left w:val="nil"/>
              <w:bottom w:val="single" w:sz="8" w:space="0" w:color="auto"/>
              <w:right w:val="single" w:sz="8" w:space="0" w:color="auto"/>
            </w:tcBorders>
            <w:shd w:val="clear" w:color="000000" w:fill="E6E6E6"/>
            <w:noWrap/>
            <w:vAlign w:val="center"/>
            <w:hideMark/>
          </w:tcPr>
          <w:p w14:paraId="6BF1DF60" w14:textId="77777777" w:rsidR="003A5974" w:rsidRPr="00E03E2C" w:rsidRDefault="003A5974"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0</w:t>
            </w:r>
          </w:p>
        </w:tc>
      </w:tr>
      <w:tr w:rsidR="003F79B1" w:rsidRPr="00E03E2C" w14:paraId="165F1F9B" w14:textId="77777777" w:rsidTr="00745CD0">
        <w:trPr>
          <w:trHeight w:val="315"/>
        </w:trPr>
        <w:tc>
          <w:tcPr>
            <w:tcW w:w="960" w:type="dxa"/>
            <w:tcBorders>
              <w:top w:val="nil"/>
              <w:left w:val="single" w:sz="8" w:space="0" w:color="auto"/>
              <w:bottom w:val="single" w:sz="8" w:space="0" w:color="auto"/>
              <w:right w:val="single" w:sz="8" w:space="0" w:color="auto"/>
            </w:tcBorders>
            <w:shd w:val="clear" w:color="000000" w:fill="E6E6E6"/>
            <w:noWrap/>
            <w:vAlign w:val="center"/>
            <w:hideMark/>
          </w:tcPr>
          <w:p w14:paraId="06ECF446" w14:textId="77777777" w:rsidR="003A5974" w:rsidRPr="00E03E2C" w:rsidRDefault="003A5974" w:rsidP="00DB66D9">
            <w:pPr>
              <w:spacing w:after="40" w:line="264" w:lineRule="auto"/>
              <w:jc w:val="both"/>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 </w:t>
            </w:r>
          </w:p>
        </w:tc>
        <w:tc>
          <w:tcPr>
            <w:tcW w:w="5480" w:type="dxa"/>
            <w:tcBorders>
              <w:top w:val="nil"/>
              <w:left w:val="nil"/>
              <w:bottom w:val="single" w:sz="8" w:space="0" w:color="auto"/>
              <w:right w:val="single" w:sz="8" w:space="0" w:color="auto"/>
            </w:tcBorders>
            <w:shd w:val="clear" w:color="000000" w:fill="E6E6E6"/>
            <w:noWrap/>
            <w:vAlign w:val="center"/>
            <w:hideMark/>
          </w:tcPr>
          <w:p w14:paraId="4B63E610" w14:textId="77777777" w:rsidR="003A5974" w:rsidRPr="00E03E2C" w:rsidRDefault="003A5974" w:rsidP="00DB66D9">
            <w:pPr>
              <w:spacing w:after="40" w:line="264" w:lineRule="auto"/>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Общо разходи по бюджета (І.1+ІІ):</w:t>
            </w:r>
          </w:p>
        </w:tc>
        <w:tc>
          <w:tcPr>
            <w:tcW w:w="960" w:type="dxa"/>
            <w:tcBorders>
              <w:top w:val="nil"/>
              <w:left w:val="nil"/>
              <w:bottom w:val="single" w:sz="8" w:space="0" w:color="auto"/>
              <w:right w:val="single" w:sz="8" w:space="0" w:color="auto"/>
            </w:tcBorders>
            <w:shd w:val="clear" w:color="000000" w:fill="E6E6E6"/>
            <w:noWrap/>
            <w:vAlign w:val="center"/>
            <w:hideMark/>
          </w:tcPr>
          <w:p w14:paraId="527DDC56" w14:textId="707BCB64" w:rsidR="003A5974" w:rsidRPr="00E03E2C" w:rsidRDefault="005E53D5"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7</w:t>
            </w:r>
            <w:r w:rsidR="003A5974" w:rsidRPr="00E03E2C">
              <w:rPr>
                <w:rFonts w:ascii="Times New Roman" w:eastAsia="Times New Roman" w:hAnsi="Times New Roman" w:cs="Times New Roman"/>
                <w:b/>
                <w:bCs/>
                <w:sz w:val="18"/>
                <w:szCs w:val="18"/>
                <w:lang w:eastAsia="bg-BG"/>
              </w:rPr>
              <w:t xml:space="preserve"> </w:t>
            </w:r>
            <w:r w:rsidRPr="00E03E2C">
              <w:rPr>
                <w:rFonts w:ascii="Times New Roman" w:eastAsia="Times New Roman" w:hAnsi="Times New Roman" w:cs="Times New Roman"/>
                <w:b/>
                <w:bCs/>
                <w:sz w:val="18"/>
                <w:szCs w:val="18"/>
                <w:lang w:eastAsia="bg-BG"/>
              </w:rPr>
              <w:t>724</w:t>
            </w:r>
            <w:r w:rsidR="003A5974" w:rsidRPr="00E03E2C">
              <w:rPr>
                <w:rFonts w:ascii="Times New Roman" w:eastAsia="Times New Roman" w:hAnsi="Times New Roman" w:cs="Times New Roman"/>
                <w:b/>
                <w:bCs/>
                <w:sz w:val="18"/>
                <w:szCs w:val="18"/>
                <w:lang w:eastAsia="bg-BG"/>
              </w:rPr>
              <w:t xml:space="preserve"> </w:t>
            </w:r>
            <w:r w:rsidRPr="00E03E2C">
              <w:rPr>
                <w:rFonts w:ascii="Times New Roman" w:eastAsia="Times New Roman" w:hAnsi="Times New Roman" w:cs="Times New Roman"/>
                <w:b/>
                <w:bCs/>
                <w:sz w:val="18"/>
                <w:szCs w:val="18"/>
                <w:lang w:eastAsia="bg-BG"/>
              </w:rPr>
              <w:t>9</w:t>
            </w:r>
            <w:r w:rsidR="003A5974" w:rsidRPr="00E03E2C">
              <w:rPr>
                <w:rFonts w:ascii="Times New Roman" w:eastAsia="Times New Roman" w:hAnsi="Times New Roman" w:cs="Times New Roman"/>
                <w:b/>
                <w:bCs/>
                <w:sz w:val="18"/>
                <w:szCs w:val="18"/>
                <w:lang w:eastAsia="bg-BG"/>
              </w:rPr>
              <w:t>00</w:t>
            </w:r>
          </w:p>
        </w:tc>
        <w:tc>
          <w:tcPr>
            <w:tcW w:w="960" w:type="dxa"/>
            <w:tcBorders>
              <w:top w:val="nil"/>
              <w:left w:val="nil"/>
              <w:bottom w:val="single" w:sz="8" w:space="0" w:color="auto"/>
              <w:right w:val="single" w:sz="8" w:space="0" w:color="auto"/>
            </w:tcBorders>
            <w:shd w:val="clear" w:color="000000" w:fill="E6E6E6"/>
            <w:noWrap/>
            <w:vAlign w:val="center"/>
            <w:hideMark/>
          </w:tcPr>
          <w:p w14:paraId="417AB7FE" w14:textId="6B773D74" w:rsidR="003A5974" w:rsidRPr="00E03E2C" w:rsidRDefault="005E53D5"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7 724 900</w:t>
            </w:r>
          </w:p>
        </w:tc>
        <w:tc>
          <w:tcPr>
            <w:tcW w:w="960" w:type="dxa"/>
            <w:tcBorders>
              <w:top w:val="nil"/>
              <w:left w:val="nil"/>
              <w:bottom w:val="single" w:sz="8" w:space="0" w:color="auto"/>
              <w:right w:val="single" w:sz="8" w:space="0" w:color="auto"/>
            </w:tcBorders>
            <w:shd w:val="clear" w:color="000000" w:fill="E6E6E6"/>
            <w:noWrap/>
            <w:vAlign w:val="center"/>
            <w:hideMark/>
          </w:tcPr>
          <w:p w14:paraId="1BF16291" w14:textId="1C3B88C9" w:rsidR="003A5974" w:rsidRPr="00E03E2C" w:rsidRDefault="002470DF"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3</w:t>
            </w:r>
            <w:r w:rsidR="003A5974" w:rsidRPr="00E03E2C">
              <w:rPr>
                <w:rFonts w:ascii="Times New Roman" w:eastAsia="Times New Roman" w:hAnsi="Times New Roman" w:cs="Times New Roman"/>
                <w:b/>
                <w:bCs/>
                <w:sz w:val="18"/>
                <w:szCs w:val="18"/>
                <w:lang w:eastAsia="bg-BG"/>
              </w:rPr>
              <w:t xml:space="preserve"> </w:t>
            </w:r>
            <w:r w:rsidR="005E53D5" w:rsidRPr="00E03E2C">
              <w:rPr>
                <w:rFonts w:ascii="Times New Roman" w:eastAsia="Times New Roman" w:hAnsi="Times New Roman" w:cs="Times New Roman"/>
                <w:b/>
                <w:bCs/>
                <w:sz w:val="18"/>
                <w:szCs w:val="18"/>
                <w:lang w:eastAsia="bg-BG"/>
              </w:rPr>
              <w:t>331</w:t>
            </w:r>
            <w:r w:rsidR="003A5974" w:rsidRPr="00E03E2C">
              <w:rPr>
                <w:rFonts w:ascii="Times New Roman" w:eastAsia="Times New Roman" w:hAnsi="Times New Roman" w:cs="Times New Roman"/>
                <w:b/>
                <w:bCs/>
                <w:sz w:val="18"/>
                <w:szCs w:val="18"/>
                <w:lang w:eastAsia="bg-BG"/>
              </w:rPr>
              <w:t xml:space="preserve"> </w:t>
            </w:r>
            <w:r w:rsidR="005E53D5" w:rsidRPr="00E03E2C">
              <w:rPr>
                <w:rFonts w:ascii="Times New Roman" w:eastAsia="Times New Roman" w:hAnsi="Times New Roman" w:cs="Times New Roman"/>
                <w:b/>
                <w:bCs/>
                <w:sz w:val="18"/>
                <w:szCs w:val="18"/>
                <w:lang w:eastAsia="bg-BG"/>
              </w:rPr>
              <w:t>624</w:t>
            </w:r>
          </w:p>
        </w:tc>
      </w:tr>
      <w:tr w:rsidR="003F79B1" w:rsidRPr="00E03E2C" w14:paraId="69C92BC5" w14:textId="77777777" w:rsidTr="00745CD0">
        <w:trPr>
          <w:trHeight w:val="315"/>
        </w:trPr>
        <w:tc>
          <w:tcPr>
            <w:tcW w:w="960" w:type="dxa"/>
            <w:tcBorders>
              <w:top w:val="nil"/>
              <w:left w:val="single" w:sz="8" w:space="0" w:color="auto"/>
              <w:bottom w:val="single" w:sz="8" w:space="0" w:color="auto"/>
              <w:right w:val="single" w:sz="8" w:space="0" w:color="auto"/>
            </w:tcBorders>
            <w:shd w:val="clear" w:color="000000" w:fill="E6E6E6"/>
            <w:noWrap/>
            <w:vAlign w:val="center"/>
            <w:hideMark/>
          </w:tcPr>
          <w:p w14:paraId="1BED2E69" w14:textId="77777777" w:rsidR="003A5974" w:rsidRPr="00E03E2C" w:rsidRDefault="003A5974" w:rsidP="00DB66D9">
            <w:pPr>
              <w:spacing w:after="40" w:line="264" w:lineRule="auto"/>
              <w:jc w:val="both"/>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 </w:t>
            </w:r>
          </w:p>
        </w:tc>
        <w:tc>
          <w:tcPr>
            <w:tcW w:w="5480" w:type="dxa"/>
            <w:tcBorders>
              <w:top w:val="nil"/>
              <w:left w:val="nil"/>
              <w:bottom w:val="single" w:sz="8" w:space="0" w:color="auto"/>
              <w:right w:val="single" w:sz="8" w:space="0" w:color="auto"/>
            </w:tcBorders>
            <w:shd w:val="clear" w:color="000000" w:fill="E6E6E6"/>
            <w:noWrap/>
            <w:vAlign w:val="center"/>
            <w:hideMark/>
          </w:tcPr>
          <w:p w14:paraId="751A2D8F" w14:textId="77777777" w:rsidR="003A5974" w:rsidRPr="00E03E2C" w:rsidRDefault="003A5974" w:rsidP="00DB66D9">
            <w:pPr>
              <w:spacing w:after="40" w:line="264" w:lineRule="auto"/>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Общо разходи (І+ІІ+ІІІ):</w:t>
            </w:r>
          </w:p>
        </w:tc>
        <w:tc>
          <w:tcPr>
            <w:tcW w:w="960" w:type="dxa"/>
            <w:tcBorders>
              <w:top w:val="nil"/>
              <w:left w:val="nil"/>
              <w:bottom w:val="single" w:sz="8" w:space="0" w:color="auto"/>
              <w:right w:val="single" w:sz="8" w:space="0" w:color="auto"/>
            </w:tcBorders>
            <w:shd w:val="clear" w:color="000000" w:fill="E6E6E6"/>
            <w:noWrap/>
            <w:vAlign w:val="center"/>
            <w:hideMark/>
          </w:tcPr>
          <w:p w14:paraId="0852C8BB" w14:textId="5717270F" w:rsidR="003A5974" w:rsidRPr="00E03E2C" w:rsidRDefault="005E53D5"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7 724 900</w:t>
            </w:r>
          </w:p>
        </w:tc>
        <w:tc>
          <w:tcPr>
            <w:tcW w:w="960" w:type="dxa"/>
            <w:tcBorders>
              <w:top w:val="nil"/>
              <w:left w:val="nil"/>
              <w:bottom w:val="single" w:sz="8" w:space="0" w:color="auto"/>
              <w:right w:val="single" w:sz="8" w:space="0" w:color="auto"/>
            </w:tcBorders>
            <w:shd w:val="clear" w:color="000000" w:fill="E6E6E6"/>
            <w:noWrap/>
            <w:vAlign w:val="center"/>
            <w:hideMark/>
          </w:tcPr>
          <w:p w14:paraId="6AEB521F" w14:textId="19198B97" w:rsidR="003A5974" w:rsidRPr="00E03E2C" w:rsidRDefault="005E53D5"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7 724 900</w:t>
            </w:r>
          </w:p>
        </w:tc>
        <w:tc>
          <w:tcPr>
            <w:tcW w:w="960" w:type="dxa"/>
            <w:tcBorders>
              <w:top w:val="nil"/>
              <w:left w:val="nil"/>
              <w:bottom w:val="single" w:sz="8" w:space="0" w:color="auto"/>
              <w:right w:val="single" w:sz="8" w:space="0" w:color="auto"/>
            </w:tcBorders>
            <w:shd w:val="clear" w:color="000000" w:fill="E6E6E6"/>
            <w:noWrap/>
            <w:vAlign w:val="center"/>
            <w:hideMark/>
          </w:tcPr>
          <w:p w14:paraId="60BA6532" w14:textId="2FC4A0AF" w:rsidR="003A5974" w:rsidRPr="00E03E2C" w:rsidRDefault="002470DF" w:rsidP="00DB66D9">
            <w:pPr>
              <w:spacing w:after="40" w:line="264" w:lineRule="auto"/>
              <w:jc w:val="right"/>
              <w:rPr>
                <w:rFonts w:ascii="Times New Roman" w:eastAsia="Times New Roman" w:hAnsi="Times New Roman" w:cs="Times New Roman"/>
                <w:b/>
                <w:bCs/>
                <w:sz w:val="18"/>
                <w:szCs w:val="18"/>
                <w:lang w:eastAsia="bg-BG"/>
              </w:rPr>
            </w:pPr>
            <w:r w:rsidRPr="00E03E2C">
              <w:rPr>
                <w:rFonts w:ascii="Times New Roman" w:eastAsia="Times New Roman" w:hAnsi="Times New Roman" w:cs="Times New Roman"/>
                <w:b/>
                <w:bCs/>
                <w:sz w:val="18"/>
                <w:szCs w:val="18"/>
                <w:lang w:eastAsia="bg-BG"/>
              </w:rPr>
              <w:t>3</w:t>
            </w:r>
            <w:r w:rsidR="003A5974" w:rsidRPr="00E03E2C">
              <w:rPr>
                <w:rFonts w:ascii="Times New Roman" w:eastAsia="Times New Roman" w:hAnsi="Times New Roman" w:cs="Times New Roman"/>
                <w:b/>
                <w:bCs/>
                <w:sz w:val="18"/>
                <w:szCs w:val="18"/>
                <w:lang w:eastAsia="bg-BG"/>
              </w:rPr>
              <w:t xml:space="preserve"> </w:t>
            </w:r>
            <w:r w:rsidR="005E53D5" w:rsidRPr="00E03E2C">
              <w:rPr>
                <w:rFonts w:ascii="Times New Roman" w:eastAsia="Times New Roman" w:hAnsi="Times New Roman" w:cs="Times New Roman"/>
                <w:b/>
                <w:bCs/>
                <w:sz w:val="18"/>
                <w:szCs w:val="18"/>
                <w:lang w:eastAsia="bg-BG"/>
              </w:rPr>
              <w:t>331</w:t>
            </w:r>
            <w:r w:rsidR="003A5974" w:rsidRPr="00E03E2C">
              <w:rPr>
                <w:rFonts w:ascii="Times New Roman" w:eastAsia="Times New Roman" w:hAnsi="Times New Roman" w:cs="Times New Roman"/>
                <w:b/>
                <w:bCs/>
                <w:sz w:val="18"/>
                <w:szCs w:val="18"/>
                <w:lang w:eastAsia="bg-BG"/>
              </w:rPr>
              <w:t xml:space="preserve"> </w:t>
            </w:r>
            <w:r w:rsidR="005E53D5" w:rsidRPr="00E03E2C">
              <w:rPr>
                <w:rFonts w:ascii="Times New Roman" w:eastAsia="Times New Roman" w:hAnsi="Times New Roman" w:cs="Times New Roman"/>
                <w:b/>
                <w:bCs/>
                <w:sz w:val="18"/>
                <w:szCs w:val="18"/>
                <w:lang w:eastAsia="bg-BG"/>
              </w:rPr>
              <w:t>624</w:t>
            </w:r>
          </w:p>
        </w:tc>
      </w:tr>
      <w:tr w:rsidR="003F79B1" w:rsidRPr="00E03E2C" w14:paraId="66E70102" w14:textId="77777777" w:rsidTr="00745C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5A10107" w14:textId="77777777" w:rsidR="003A5974" w:rsidRPr="00E03E2C" w:rsidRDefault="003A5974" w:rsidP="00DB66D9">
            <w:pPr>
              <w:spacing w:after="40" w:line="264" w:lineRule="auto"/>
              <w:jc w:val="both"/>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 </w:t>
            </w:r>
          </w:p>
        </w:tc>
        <w:tc>
          <w:tcPr>
            <w:tcW w:w="5480" w:type="dxa"/>
            <w:tcBorders>
              <w:top w:val="nil"/>
              <w:left w:val="nil"/>
              <w:bottom w:val="single" w:sz="8" w:space="0" w:color="auto"/>
              <w:right w:val="single" w:sz="8" w:space="0" w:color="auto"/>
            </w:tcBorders>
            <w:shd w:val="clear" w:color="auto" w:fill="auto"/>
            <w:noWrap/>
            <w:vAlign w:val="center"/>
            <w:hideMark/>
          </w:tcPr>
          <w:p w14:paraId="6CB148ED" w14:textId="77777777" w:rsidR="003A5974" w:rsidRPr="00E03E2C" w:rsidRDefault="003A5974" w:rsidP="00DB66D9">
            <w:pPr>
              <w:spacing w:after="40" w:line="264" w:lineRule="auto"/>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Численост на щатния персонал</w:t>
            </w:r>
          </w:p>
        </w:tc>
        <w:tc>
          <w:tcPr>
            <w:tcW w:w="960" w:type="dxa"/>
            <w:tcBorders>
              <w:top w:val="nil"/>
              <w:left w:val="nil"/>
              <w:bottom w:val="single" w:sz="8" w:space="0" w:color="auto"/>
              <w:right w:val="single" w:sz="8" w:space="0" w:color="auto"/>
            </w:tcBorders>
            <w:shd w:val="clear" w:color="auto" w:fill="auto"/>
            <w:noWrap/>
            <w:vAlign w:val="center"/>
            <w:hideMark/>
          </w:tcPr>
          <w:p w14:paraId="68478EB3" w14:textId="77777777" w:rsidR="003A5974" w:rsidRPr="00E03E2C" w:rsidRDefault="003A5974"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117</w:t>
            </w:r>
          </w:p>
        </w:tc>
        <w:tc>
          <w:tcPr>
            <w:tcW w:w="960" w:type="dxa"/>
            <w:tcBorders>
              <w:top w:val="nil"/>
              <w:left w:val="nil"/>
              <w:bottom w:val="single" w:sz="8" w:space="0" w:color="auto"/>
              <w:right w:val="single" w:sz="8" w:space="0" w:color="auto"/>
            </w:tcBorders>
            <w:shd w:val="clear" w:color="auto" w:fill="auto"/>
            <w:noWrap/>
            <w:vAlign w:val="center"/>
            <w:hideMark/>
          </w:tcPr>
          <w:p w14:paraId="1C3A6ABB" w14:textId="77777777" w:rsidR="003A5974" w:rsidRPr="00E03E2C" w:rsidRDefault="003A5974"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117</w:t>
            </w:r>
          </w:p>
        </w:tc>
        <w:tc>
          <w:tcPr>
            <w:tcW w:w="960" w:type="dxa"/>
            <w:tcBorders>
              <w:top w:val="nil"/>
              <w:left w:val="nil"/>
              <w:bottom w:val="single" w:sz="8" w:space="0" w:color="auto"/>
              <w:right w:val="single" w:sz="8" w:space="0" w:color="auto"/>
            </w:tcBorders>
            <w:shd w:val="clear" w:color="auto" w:fill="auto"/>
            <w:noWrap/>
            <w:vAlign w:val="center"/>
            <w:hideMark/>
          </w:tcPr>
          <w:p w14:paraId="081D4B86" w14:textId="182DA675" w:rsidR="003A5974" w:rsidRPr="00E03E2C" w:rsidRDefault="00071509"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9</w:t>
            </w:r>
            <w:r w:rsidR="003D4E3F" w:rsidRPr="00E03E2C">
              <w:rPr>
                <w:rFonts w:ascii="Times New Roman" w:eastAsia="Times New Roman" w:hAnsi="Times New Roman" w:cs="Times New Roman"/>
                <w:sz w:val="18"/>
                <w:szCs w:val="18"/>
                <w:lang w:eastAsia="bg-BG"/>
              </w:rPr>
              <w:t>8</w:t>
            </w:r>
          </w:p>
        </w:tc>
      </w:tr>
      <w:tr w:rsidR="003F79B1" w:rsidRPr="00E03E2C" w14:paraId="75E28244" w14:textId="77777777" w:rsidTr="00745C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71EA5CF" w14:textId="77777777" w:rsidR="003A5974" w:rsidRPr="00E03E2C" w:rsidRDefault="003A5974" w:rsidP="00DB66D9">
            <w:pPr>
              <w:spacing w:after="40" w:line="264" w:lineRule="auto"/>
              <w:jc w:val="both"/>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 </w:t>
            </w:r>
          </w:p>
        </w:tc>
        <w:tc>
          <w:tcPr>
            <w:tcW w:w="5480" w:type="dxa"/>
            <w:tcBorders>
              <w:top w:val="nil"/>
              <w:left w:val="nil"/>
              <w:bottom w:val="single" w:sz="8" w:space="0" w:color="auto"/>
              <w:right w:val="single" w:sz="8" w:space="0" w:color="auto"/>
            </w:tcBorders>
            <w:shd w:val="clear" w:color="auto" w:fill="auto"/>
            <w:noWrap/>
            <w:vAlign w:val="center"/>
            <w:hideMark/>
          </w:tcPr>
          <w:p w14:paraId="7DCBC83E" w14:textId="77777777" w:rsidR="003A5974" w:rsidRPr="00E03E2C" w:rsidRDefault="003A5974" w:rsidP="00DB66D9">
            <w:pPr>
              <w:spacing w:after="40" w:line="264" w:lineRule="auto"/>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Численост на извънщатния персонал</w:t>
            </w:r>
          </w:p>
        </w:tc>
        <w:tc>
          <w:tcPr>
            <w:tcW w:w="960" w:type="dxa"/>
            <w:tcBorders>
              <w:top w:val="nil"/>
              <w:left w:val="nil"/>
              <w:bottom w:val="single" w:sz="8" w:space="0" w:color="auto"/>
              <w:right w:val="single" w:sz="8" w:space="0" w:color="auto"/>
            </w:tcBorders>
            <w:shd w:val="clear" w:color="auto" w:fill="auto"/>
            <w:noWrap/>
            <w:vAlign w:val="center"/>
            <w:hideMark/>
          </w:tcPr>
          <w:p w14:paraId="0DCDEEC2" w14:textId="77777777" w:rsidR="003A5974" w:rsidRPr="00E03E2C" w:rsidRDefault="003A5974"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7</w:t>
            </w:r>
          </w:p>
        </w:tc>
        <w:tc>
          <w:tcPr>
            <w:tcW w:w="960" w:type="dxa"/>
            <w:tcBorders>
              <w:top w:val="nil"/>
              <w:left w:val="nil"/>
              <w:bottom w:val="single" w:sz="8" w:space="0" w:color="auto"/>
              <w:right w:val="single" w:sz="8" w:space="0" w:color="auto"/>
            </w:tcBorders>
            <w:shd w:val="clear" w:color="auto" w:fill="auto"/>
            <w:noWrap/>
            <w:vAlign w:val="center"/>
            <w:hideMark/>
          </w:tcPr>
          <w:p w14:paraId="304D423F" w14:textId="77777777" w:rsidR="003A5974" w:rsidRPr="00E03E2C" w:rsidRDefault="003A5974"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7</w:t>
            </w:r>
          </w:p>
        </w:tc>
        <w:tc>
          <w:tcPr>
            <w:tcW w:w="960" w:type="dxa"/>
            <w:tcBorders>
              <w:top w:val="nil"/>
              <w:left w:val="nil"/>
              <w:bottom w:val="single" w:sz="8" w:space="0" w:color="auto"/>
              <w:right w:val="single" w:sz="8" w:space="0" w:color="auto"/>
            </w:tcBorders>
            <w:shd w:val="clear" w:color="auto" w:fill="auto"/>
            <w:noWrap/>
            <w:vAlign w:val="center"/>
            <w:hideMark/>
          </w:tcPr>
          <w:p w14:paraId="1EF34674" w14:textId="2ED9A20C" w:rsidR="003A5974" w:rsidRPr="00E03E2C" w:rsidRDefault="002470DF" w:rsidP="00DB66D9">
            <w:pPr>
              <w:spacing w:after="40" w:line="264" w:lineRule="auto"/>
              <w:jc w:val="right"/>
              <w:rPr>
                <w:rFonts w:ascii="Times New Roman" w:eastAsia="Times New Roman" w:hAnsi="Times New Roman" w:cs="Times New Roman"/>
                <w:sz w:val="18"/>
                <w:szCs w:val="18"/>
                <w:lang w:eastAsia="bg-BG"/>
              </w:rPr>
            </w:pPr>
            <w:r w:rsidRPr="00E03E2C">
              <w:rPr>
                <w:rFonts w:ascii="Times New Roman" w:eastAsia="Times New Roman" w:hAnsi="Times New Roman" w:cs="Times New Roman"/>
                <w:sz w:val="18"/>
                <w:szCs w:val="18"/>
                <w:lang w:eastAsia="bg-BG"/>
              </w:rPr>
              <w:t>3</w:t>
            </w:r>
          </w:p>
        </w:tc>
      </w:tr>
    </w:tbl>
    <w:p w14:paraId="4C55A845" w14:textId="4C560A01" w:rsidR="005C291C" w:rsidRPr="00E03E2C" w:rsidRDefault="005C291C" w:rsidP="00DB66D9">
      <w:pPr>
        <w:spacing w:after="40" w:line="264" w:lineRule="auto"/>
        <w:jc w:val="both"/>
        <w:rPr>
          <w:rFonts w:ascii="Times New Roman" w:hAnsi="Times New Roman" w:cs="Times New Roman"/>
          <w:b/>
          <w:i/>
          <w:sz w:val="24"/>
          <w:szCs w:val="24"/>
        </w:rPr>
      </w:pPr>
    </w:p>
    <w:p w14:paraId="0D7F25A6" w14:textId="54409309" w:rsidR="00500DD6" w:rsidRPr="00E03E2C" w:rsidRDefault="00747418" w:rsidP="00DB66D9">
      <w:pPr>
        <w:spacing w:after="40" w:line="264" w:lineRule="auto"/>
        <w:jc w:val="both"/>
        <w:rPr>
          <w:rFonts w:ascii="Times New Roman" w:hAnsi="Times New Roman" w:cs="Times New Roman"/>
          <w:b/>
          <w:i/>
          <w:sz w:val="24"/>
          <w:szCs w:val="24"/>
        </w:rPr>
      </w:pPr>
      <w:r w:rsidRPr="00E03E2C">
        <w:rPr>
          <w:rFonts w:ascii="Times New Roman" w:hAnsi="Times New Roman" w:cs="Times New Roman"/>
          <w:b/>
          <w:i/>
          <w:sz w:val="24"/>
          <w:szCs w:val="24"/>
        </w:rPr>
        <w:t>д</w:t>
      </w:r>
      <w:r w:rsidR="00A37AE7" w:rsidRPr="00E03E2C">
        <w:rPr>
          <w:rFonts w:ascii="Times New Roman" w:hAnsi="Times New Roman" w:cs="Times New Roman"/>
          <w:b/>
          <w:i/>
          <w:sz w:val="24"/>
          <w:szCs w:val="24"/>
        </w:rPr>
        <w:t xml:space="preserve">) </w:t>
      </w:r>
      <w:r w:rsidR="00500DD6" w:rsidRPr="00E03E2C">
        <w:rPr>
          <w:rFonts w:ascii="Times New Roman" w:hAnsi="Times New Roman" w:cs="Times New Roman"/>
          <w:b/>
          <w:i/>
          <w:sz w:val="24"/>
          <w:szCs w:val="24"/>
        </w:rPr>
        <w:t>Отговорност за изпълнението на програмата</w:t>
      </w:r>
    </w:p>
    <w:p w14:paraId="61D41A22" w14:textId="77777777" w:rsidR="00500DD6" w:rsidRPr="00E03E2C" w:rsidRDefault="00500DD6" w:rsidP="00DB66D9">
      <w:pPr>
        <w:pStyle w:val="ListParagraph"/>
        <w:numPr>
          <w:ilvl w:val="0"/>
          <w:numId w:val="5"/>
        </w:numPr>
        <w:spacing w:after="40" w:line="264" w:lineRule="auto"/>
        <w:ind w:left="426" w:firstLine="0"/>
        <w:contextualSpacing/>
        <w:jc w:val="both"/>
        <w:rPr>
          <w:rFonts w:ascii="Times New Roman" w:hAnsi="Times New Roman" w:cs="Times New Roman"/>
        </w:rPr>
      </w:pPr>
      <w:r w:rsidRPr="00E03E2C">
        <w:rPr>
          <w:rFonts w:ascii="Times New Roman" w:hAnsi="Times New Roman" w:cs="Times New Roman"/>
        </w:rPr>
        <w:t>Председателят на Комисията, като представляващ цялостната дейност на КЗК;</w:t>
      </w:r>
    </w:p>
    <w:p w14:paraId="6A6FD8BE" w14:textId="7BCF7DAB" w:rsidR="00500DD6" w:rsidRDefault="00607174" w:rsidP="00DB66D9">
      <w:pPr>
        <w:pStyle w:val="ListParagraph"/>
        <w:numPr>
          <w:ilvl w:val="0"/>
          <w:numId w:val="5"/>
        </w:numPr>
        <w:spacing w:after="40" w:line="264" w:lineRule="auto"/>
        <w:ind w:left="426" w:firstLine="0"/>
        <w:contextualSpacing/>
        <w:jc w:val="both"/>
        <w:rPr>
          <w:rFonts w:ascii="Times New Roman" w:hAnsi="Times New Roman" w:cs="Times New Roman"/>
        </w:rPr>
      </w:pPr>
      <w:r w:rsidRPr="00E03E2C">
        <w:rPr>
          <w:rFonts w:ascii="Times New Roman" w:hAnsi="Times New Roman" w:cs="Times New Roman"/>
        </w:rPr>
        <w:t>Ресорните директори на д</w:t>
      </w:r>
      <w:r w:rsidR="00500DD6" w:rsidRPr="00E03E2C">
        <w:rPr>
          <w:rFonts w:ascii="Times New Roman" w:hAnsi="Times New Roman" w:cs="Times New Roman"/>
        </w:rPr>
        <w:t>ирекции, като отговорни по конкретните задачи.</w:t>
      </w:r>
    </w:p>
    <w:p w14:paraId="7224D712" w14:textId="01893957" w:rsidR="00EB08F4" w:rsidRDefault="00EB08F4" w:rsidP="00EB08F4">
      <w:pPr>
        <w:contextualSpacing/>
        <w:jc w:val="both"/>
        <w:rPr>
          <w:rFonts w:ascii="Times New Roman" w:hAnsi="Times New Roman" w:cs="Times New Roman"/>
          <w:b/>
        </w:rPr>
      </w:pPr>
    </w:p>
    <w:p w14:paraId="08695E3B" w14:textId="77777777" w:rsidR="009A3352" w:rsidRDefault="009A3352" w:rsidP="00EB08F4">
      <w:pPr>
        <w:contextualSpacing/>
        <w:jc w:val="both"/>
        <w:rPr>
          <w:rFonts w:ascii="Times New Roman" w:hAnsi="Times New Roman" w:cs="Times New Roman"/>
          <w:b/>
        </w:rPr>
      </w:pPr>
    </w:p>
    <w:p w14:paraId="40F4EF28" w14:textId="77777777" w:rsidR="00EB08F4" w:rsidRPr="00E03E2C" w:rsidRDefault="00EB08F4" w:rsidP="00EB08F4">
      <w:pPr>
        <w:pStyle w:val="ListParagraph"/>
        <w:spacing w:after="40" w:line="264" w:lineRule="auto"/>
        <w:ind w:left="426"/>
        <w:contextualSpacing/>
        <w:jc w:val="both"/>
        <w:rPr>
          <w:rFonts w:ascii="Times New Roman" w:hAnsi="Times New Roman" w:cs="Times New Roman"/>
        </w:rPr>
      </w:pPr>
      <w:bookmarkStart w:id="1" w:name="_GoBack"/>
      <w:bookmarkEnd w:id="1"/>
    </w:p>
    <w:sectPr w:rsidR="00EB08F4" w:rsidRPr="00E03E2C" w:rsidSect="00D542EB">
      <w:pgSz w:w="11906" w:h="16838"/>
      <w:pgMar w:top="993"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A0FF7" w14:textId="77777777" w:rsidR="00586F9F" w:rsidRDefault="00586F9F" w:rsidP="00474957">
      <w:pPr>
        <w:spacing w:after="0" w:line="240" w:lineRule="auto"/>
      </w:pPr>
      <w:r>
        <w:separator/>
      </w:r>
    </w:p>
  </w:endnote>
  <w:endnote w:type="continuationSeparator" w:id="0">
    <w:p w14:paraId="3DCBF145" w14:textId="77777777" w:rsidR="00586F9F" w:rsidRDefault="00586F9F" w:rsidP="0047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071456"/>
      <w:docPartObj>
        <w:docPartGallery w:val="Page Numbers (Bottom of Page)"/>
        <w:docPartUnique/>
      </w:docPartObj>
    </w:sdtPr>
    <w:sdtEndPr>
      <w:rPr>
        <w:noProof/>
      </w:rPr>
    </w:sdtEndPr>
    <w:sdtContent>
      <w:p w14:paraId="28C30AC0" w14:textId="2DD3989C" w:rsidR="009A3352" w:rsidRDefault="009A3352">
        <w:pPr>
          <w:pStyle w:val="Footer"/>
          <w:jc w:val="center"/>
        </w:pPr>
        <w:r>
          <w:fldChar w:fldCharType="begin"/>
        </w:r>
        <w:r>
          <w:instrText xml:space="preserve"> PAGE   \* MERGEFORMAT </w:instrText>
        </w:r>
        <w:r>
          <w:fldChar w:fldCharType="separate"/>
        </w:r>
        <w:r w:rsidR="00A564B0">
          <w:rPr>
            <w:noProof/>
          </w:rPr>
          <w:t>34</w:t>
        </w:r>
        <w:r>
          <w:rPr>
            <w:noProof/>
          </w:rPr>
          <w:fldChar w:fldCharType="end"/>
        </w:r>
      </w:p>
    </w:sdtContent>
  </w:sdt>
  <w:p w14:paraId="5D802138" w14:textId="77777777" w:rsidR="009A3352" w:rsidRDefault="009A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3DFC4" w14:textId="77777777" w:rsidR="00586F9F" w:rsidRDefault="00586F9F" w:rsidP="00474957">
      <w:pPr>
        <w:spacing w:after="0" w:line="240" w:lineRule="auto"/>
      </w:pPr>
      <w:r>
        <w:separator/>
      </w:r>
    </w:p>
  </w:footnote>
  <w:footnote w:type="continuationSeparator" w:id="0">
    <w:p w14:paraId="2191E231" w14:textId="77777777" w:rsidR="00586F9F" w:rsidRDefault="00586F9F" w:rsidP="00474957">
      <w:pPr>
        <w:spacing w:after="0" w:line="240" w:lineRule="auto"/>
      </w:pPr>
      <w:r>
        <w:continuationSeparator/>
      </w:r>
    </w:p>
  </w:footnote>
  <w:footnote w:id="1">
    <w:p w14:paraId="59647D1F" w14:textId="77777777" w:rsidR="009A3352" w:rsidRDefault="009A3352" w:rsidP="00C37B37">
      <w:pPr>
        <w:pStyle w:val="FootnoteText"/>
      </w:pPr>
      <w:r>
        <w:rPr>
          <w:rStyle w:val="FootnoteReference"/>
        </w:rPr>
        <w:footnoteRef/>
      </w:r>
      <w:r>
        <w:t xml:space="preserve"> Производствата са образувани</w:t>
      </w:r>
      <w:r w:rsidRPr="00E55312">
        <w:t xml:space="preserve"> както за установяване на нарушения по чл. 15 от ЗЗК, така и за установяване на нарушения по чл. 21 от ЗЗК, поради което в настоящия отчет същ</w:t>
      </w:r>
      <w:r>
        <w:t>ите са</w:t>
      </w:r>
      <w:r w:rsidRPr="00E55312">
        <w:t xml:space="preserve"> включен</w:t>
      </w:r>
      <w:r>
        <w:t>и</w:t>
      </w:r>
      <w:r w:rsidRPr="00E55312">
        <w:t xml:space="preserve"> и в броя образувани производства по Глава четвърта от ЗЗК</w:t>
      </w:r>
    </w:p>
  </w:footnote>
  <w:footnote w:id="2">
    <w:p w14:paraId="36394975" w14:textId="77777777" w:rsidR="009A3352" w:rsidRDefault="009A3352" w:rsidP="00C37B37">
      <w:pPr>
        <w:pStyle w:val="FootnoteText"/>
      </w:pPr>
      <w:r>
        <w:rPr>
          <w:rStyle w:val="FootnoteReference"/>
        </w:rPr>
        <w:footnoteRef/>
      </w:r>
      <w:r>
        <w:t xml:space="preserve"> Производствата са образувани</w:t>
      </w:r>
      <w:r w:rsidRPr="00E55312">
        <w:t xml:space="preserve"> както за установяване на нарушения по чл. 15 от ЗЗК, така и за установяване на нарушения по чл. 21 от ЗЗК, поради което в настоящия отчет същ</w:t>
      </w:r>
      <w:r>
        <w:t>ите са</w:t>
      </w:r>
      <w:r w:rsidRPr="00E55312">
        <w:t xml:space="preserve"> включен</w:t>
      </w:r>
      <w:r>
        <w:t>и</w:t>
      </w:r>
      <w:r w:rsidRPr="00E55312">
        <w:t xml:space="preserve"> и в броя об</w:t>
      </w:r>
      <w:r>
        <w:t xml:space="preserve">разувани производства по Глава трета </w:t>
      </w:r>
      <w:r w:rsidRPr="00E55312">
        <w:t>от ЗЗК</w:t>
      </w:r>
      <w:r>
        <w:t>.</w:t>
      </w:r>
    </w:p>
  </w:footnote>
  <w:footnote w:id="3">
    <w:p w14:paraId="4EC3D19D" w14:textId="77777777" w:rsidR="009A3352" w:rsidRDefault="009A3352" w:rsidP="00C37B37">
      <w:pPr>
        <w:pStyle w:val="FootnoteText"/>
      </w:pPr>
      <w:r w:rsidRPr="00E904AA">
        <w:footnoteRef/>
      </w:r>
      <w:r>
        <w:t xml:space="preserve"> Производство </w:t>
      </w:r>
      <w:hyperlink r:id="rId1" w:history="1">
        <w:r w:rsidRPr="00E904AA">
          <w:t>КЗК/</w:t>
        </w:r>
        <w:r>
          <w:t>206</w:t>
        </w:r>
        <w:r w:rsidRPr="00E904AA">
          <w:t>/202</w:t>
        </w:r>
      </w:hyperlink>
      <w:r>
        <w:t>5</w:t>
      </w:r>
    </w:p>
  </w:footnote>
  <w:footnote w:id="4">
    <w:p w14:paraId="494D5225" w14:textId="77777777" w:rsidR="009A3352" w:rsidRDefault="009A3352" w:rsidP="00C37B37">
      <w:pPr>
        <w:pStyle w:val="FootnoteText"/>
      </w:pPr>
      <w:r w:rsidRPr="00E904AA">
        <w:footnoteRef/>
      </w:r>
      <w:r>
        <w:t xml:space="preserve"> Производство </w:t>
      </w:r>
      <w:hyperlink r:id="rId2" w:history="1">
        <w:r w:rsidRPr="00E904AA">
          <w:t>КЗК/</w:t>
        </w:r>
        <w:r>
          <w:t>476</w:t>
        </w:r>
        <w:r w:rsidRPr="00E904AA">
          <w:t>/202</w:t>
        </w:r>
      </w:hyperlink>
      <w:r>
        <w:t>5</w:t>
      </w:r>
    </w:p>
  </w:footnote>
  <w:footnote w:id="5">
    <w:p w14:paraId="365534AD" w14:textId="77777777" w:rsidR="009A3352" w:rsidRPr="00DE527D" w:rsidRDefault="009A3352" w:rsidP="00C37B37">
      <w:pPr>
        <w:pStyle w:val="FootnoteText"/>
      </w:pPr>
      <w:r w:rsidRPr="00DE527D">
        <w:rPr>
          <w:rStyle w:val="FootnoteReference"/>
        </w:rPr>
        <w:footnoteRef/>
      </w:r>
      <w:r w:rsidRPr="00DE527D">
        <w:t xml:space="preserve"> </w:t>
      </w:r>
      <w:r w:rsidRPr="00DE527D">
        <w:rPr>
          <w:shd w:val="clear" w:color="auto" w:fill="FFFFFF"/>
        </w:rPr>
        <w:t>Решение № 338/27.03.2025 г. </w:t>
      </w:r>
    </w:p>
  </w:footnote>
  <w:footnote w:id="6">
    <w:p w14:paraId="7DD2A583" w14:textId="77777777" w:rsidR="009A3352" w:rsidRPr="00DC5E0C" w:rsidRDefault="009A3352" w:rsidP="00C37B37">
      <w:pPr>
        <w:pStyle w:val="FootnoteText"/>
      </w:pPr>
      <w:r w:rsidRPr="00DE527D">
        <w:footnoteRef/>
      </w:r>
      <w:r w:rsidRPr="00DE527D">
        <w:t xml:space="preserve"> </w:t>
      </w:r>
      <w:hyperlink r:id="rId3" w:history="1">
        <w:r w:rsidRPr="00DE527D">
          <w:t xml:space="preserve">Решение № </w:t>
        </w:r>
        <w:hyperlink r:id="rId4" w:history="1">
          <w:r w:rsidRPr="00DE527D">
            <w:rPr>
              <w:rStyle w:val="Hyperlink"/>
              <w:bCs/>
              <w:shd w:val="clear" w:color="auto" w:fill="FFFFFF"/>
            </w:rPr>
            <w:t>422/17.04.2025</w:t>
          </w:r>
        </w:hyperlink>
        <w:r w:rsidRPr="00DE527D">
          <w:t xml:space="preserve"> </w:t>
        </w:r>
      </w:hyperlink>
      <w:r w:rsidRPr="00DE527D">
        <w:t xml:space="preserve"> г. по преписка № </w:t>
      </w:r>
      <w:hyperlink r:id="rId5" w:history="1">
        <w:r w:rsidRPr="00DE527D">
          <w:t>КЗК/667/202</w:t>
        </w:r>
      </w:hyperlink>
      <w:r w:rsidRPr="00DE527D">
        <w:t xml:space="preserve">4 и Решение № </w:t>
      </w:r>
      <w:hyperlink r:id="rId6" w:history="1">
        <w:r w:rsidRPr="00DE527D">
          <w:rPr>
            <w:rStyle w:val="Hyperlink"/>
            <w:bCs/>
            <w:shd w:val="clear" w:color="auto" w:fill="FFFFFF"/>
          </w:rPr>
          <w:t>459/08.05.2025</w:t>
        </w:r>
      </w:hyperlink>
      <w:r>
        <w:t xml:space="preserve"> г.</w:t>
      </w:r>
      <w:r w:rsidRPr="00DE527D">
        <w:t xml:space="preserve"> по преписка № КЗК/827/2022.</w:t>
      </w:r>
    </w:p>
  </w:footnote>
  <w:footnote w:id="7">
    <w:p w14:paraId="56ED8D76" w14:textId="77777777" w:rsidR="009A3352" w:rsidRPr="00AC4446" w:rsidRDefault="009A3352" w:rsidP="00D5673B">
      <w:pPr>
        <w:pStyle w:val="FootnoteText"/>
        <w:jc w:val="both"/>
        <w:rPr>
          <w:sz w:val="18"/>
          <w:szCs w:val="18"/>
        </w:rPr>
      </w:pPr>
      <w:r>
        <w:rPr>
          <w:rStyle w:val="FootnoteReference"/>
        </w:rPr>
        <w:footnoteRef/>
      </w:r>
      <w:r>
        <w:rPr>
          <w:sz w:val="18"/>
          <w:szCs w:val="18"/>
        </w:rPr>
        <w:t>Четири</w:t>
      </w:r>
      <w:r w:rsidRPr="00AC4446">
        <w:rPr>
          <w:sz w:val="18"/>
          <w:szCs w:val="18"/>
        </w:rPr>
        <w:t xml:space="preserve"> от </w:t>
      </w:r>
      <w:r>
        <w:rPr>
          <w:sz w:val="18"/>
          <w:szCs w:val="18"/>
        </w:rPr>
        <w:t xml:space="preserve">образуваните </w:t>
      </w:r>
      <w:r w:rsidRPr="00AC4446">
        <w:rPr>
          <w:sz w:val="18"/>
          <w:szCs w:val="18"/>
        </w:rPr>
        <w:t xml:space="preserve">производства </w:t>
      </w:r>
      <w:r>
        <w:rPr>
          <w:sz w:val="18"/>
          <w:szCs w:val="18"/>
        </w:rPr>
        <w:t>са по</w:t>
      </w:r>
      <w:r w:rsidRPr="00AC4446">
        <w:rPr>
          <w:sz w:val="18"/>
          <w:szCs w:val="18"/>
        </w:rPr>
        <w:t xml:space="preserve"> постъпил</w:t>
      </w:r>
      <w:r>
        <w:rPr>
          <w:sz w:val="18"/>
          <w:szCs w:val="18"/>
        </w:rPr>
        <w:t>и</w:t>
      </w:r>
      <w:r w:rsidRPr="00AC4446">
        <w:rPr>
          <w:sz w:val="18"/>
          <w:szCs w:val="18"/>
        </w:rPr>
        <w:t xml:space="preserve"> в края на 202</w:t>
      </w:r>
      <w:r>
        <w:rPr>
          <w:sz w:val="18"/>
          <w:szCs w:val="18"/>
        </w:rPr>
        <w:t>4</w:t>
      </w:r>
      <w:r w:rsidRPr="00AC4446">
        <w:rPr>
          <w:sz w:val="18"/>
          <w:szCs w:val="18"/>
        </w:rPr>
        <w:t xml:space="preserve"> г. уведомлени</w:t>
      </w:r>
      <w:r>
        <w:rPr>
          <w:sz w:val="18"/>
          <w:szCs w:val="18"/>
        </w:rPr>
        <w:t>я</w:t>
      </w:r>
      <w:r w:rsidRPr="00AC4446">
        <w:rPr>
          <w:sz w:val="18"/>
          <w:szCs w:val="18"/>
        </w:rPr>
        <w:t xml:space="preserve"> за концентрация (КЗК/</w:t>
      </w:r>
      <w:r>
        <w:rPr>
          <w:sz w:val="18"/>
          <w:szCs w:val="18"/>
        </w:rPr>
        <w:t>79</w:t>
      </w:r>
      <w:r w:rsidRPr="00AC4446">
        <w:rPr>
          <w:sz w:val="18"/>
          <w:szCs w:val="18"/>
        </w:rPr>
        <w:t>/2</w:t>
      </w:r>
      <w:r>
        <w:rPr>
          <w:sz w:val="18"/>
          <w:szCs w:val="18"/>
        </w:rPr>
        <w:t>025</w:t>
      </w:r>
      <w:r w:rsidRPr="00AC4446">
        <w:rPr>
          <w:sz w:val="18"/>
          <w:szCs w:val="18"/>
        </w:rPr>
        <w:t xml:space="preserve"> г.</w:t>
      </w:r>
      <w:r>
        <w:rPr>
          <w:sz w:val="18"/>
          <w:szCs w:val="18"/>
        </w:rPr>
        <w:t>; КЗК/104/2025 г.; КЗК/119/2025 г. и КЗК/120/2025 г.).</w:t>
      </w:r>
      <w:r w:rsidRPr="00AC4446">
        <w:rPr>
          <w:sz w:val="18"/>
          <w:szCs w:val="18"/>
        </w:rPr>
        <w:t xml:space="preserve"> </w:t>
      </w:r>
    </w:p>
  </w:footnote>
  <w:footnote w:id="8">
    <w:p w14:paraId="6B8F4F91" w14:textId="77777777" w:rsidR="009A3352" w:rsidRPr="00F65A2E" w:rsidRDefault="009A3352" w:rsidP="00D5673B">
      <w:pPr>
        <w:pStyle w:val="FootnoteText"/>
        <w:rPr>
          <w:sz w:val="18"/>
          <w:szCs w:val="18"/>
        </w:rPr>
      </w:pPr>
      <w:r w:rsidRPr="00F65A2E">
        <w:rPr>
          <w:rStyle w:val="FootnoteReference"/>
          <w:sz w:val="18"/>
          <w:szCs w:val="18"/>
        </w:rPr>
        <w:footnoteRef/>
      </w:r>
      <w:r w:rsidRPr="00F65A2E">
        <w:rPr>
          <w:sz w:val="18"/>
          <w:szCs w:val="18"/>
        </w:rPr>
        <w:t xml:space="preserve"> Р. № </w:t>
      </w:r>
      <w:r>
        <w:rPr>
          <w:sz w:val="18"/>
          <w:szCs w:val="18"/>
        </w:rPr>
        <w:t>265</w:t>
      </w:r>
      <w:r w:rsidRPr="00F65A2E">
        <w:rPr>
          <w:sz w:val="18"/>
          <w:szCs w:val="18"/>
        </w:rPr>
        <w:t>/</w:t>
      </w:r>
      <w:r>
        <w:rPr>
          <w:sz w:val="18"/>
          <w:szCs w:val="18"/>
        </w:rPr>
        <w:t>06</w:t>
      </w:r>
      <w:r w:rsidRPr="00F65A2E">
        <w:rPr>
          <w:sz w:val="18"/>
          <w:szCs w:val="18"/>
        </w:rPr>
        <w:t>.0</w:t>
      </w:r>
      <w:r>
        <w:rPr>
          <w:sz w:val="18"/>
          <w:szCs w:val="18"/>
        </w:rPr>
        <w:t>3</w:t>
      </w:r>
      <w:r w:rsidRPr="00F65A2E">
        <w:rPr>
          <w:sz w:val="18"/>
          <w:szCs w:val="18"/>
        </w:rPr>
        <w:t>.202</w:t>
      </w:r>
      <w:r>
        <w:rPr>
          <w:sz w:val="18"/>
          <w:szCs w:val="18"/>
        </w:rPr>
        <w:t>5</w:t>
      </w:r>
      <w:r w:rsidRPr="00F65A2E">
        <w:rPr>
          <w:sz w:val="18"/>
          <w:szCs w:val="18"/>
        </w:rPr>
        <w:t xml:space="preserve"> г.</w:t>
      </w:r>
      <w:r>
        <w:rPr>
          <w:sz w:val="18"/>
          <w:szCs w:val="18"/>
        </w:rPr>
        <w:t xml:space="preserve"> по КЗК/120/25 г. </w:t>
      </w:r>
    </w:p>
  </w:footnote>
  <w:footnote w:id="9">
    <w:p w14:paraId="416C46CA" w14:textId="77777777" w:rsidR="009A3352" w:rsidRPr="00BB7BFC" w:rsidRDefault="009A3352" w:rsidP="00D5673B">
      <w:pPr>
        <w:pStyle w:val="FootnoteText"/>
        <w:jc w:val="both"/>
        <w:rPr>
          <w:sz w:val="18"/>
          <w:szCs w:val="18"/>
        </w:rPr>
      </w:pPr>
      <w:r w:rsidRPr="00BB7BFC">
        <w:rPr>
          <w:rStyle w:val="FootnoteReference"/>
          <w:sz w:val="18"/>
          <w:szCs w:val="18"/>
        </w:rPr>
        <w:footnoteRef/>
      </w:r>
      <w:r w:rsidRPr="00BB7BFC">
        <w:rPr>
          <w:sz w:val="18"/>
          <w:szCs w:val="18"/>
        </w:rPr>
        <w:t xml:space="preserve"> Включва само постановените решения за разрешаване на концентрация</w:t>
      </w:r>
      <w:r>
        <w:rPr>
          <w:sz w:val="18"/>
          <w:szCs w:val="18"/>
        </w:rPr>
        <w:t xml:space="preserve"> между предприятия</w:t>
      </w:r>
      <w:r w:rsidRPr="00BB7BFC">
        <w:rPr>
          <w:sz w:val="18"/>
          <w:szCs w:val="18"/>
        </w:rPr>
        <w:t xml:space="preserve"> (общо </w:t>
      </w:r>
      <w:r>
        <w:rPr>
          <w:sz w:val="18"/>
          <w:szCs w:val="18"/>
        </w:rPr>
        <w:t>11</w:t>
      </w:r>
      <w:r w:rsidRPr="00BB7BFC">
        <w:rPr>
          <w:sz w:val="18"/>
          <w:szCs w:val="18"/>
        </w:rPr>
        <w:t>)</w:t>
      </w:r>
      <w:r w:rsidRPr="00BB7BFC">
        <w:rPr>
          <w:sz w:val="18"/>
          <w:szCs w:val="18"/>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7229"/>
    <w:multiLevelType w:val="hybridMultilevel"/>
    <w:tmpl w:val="7884F0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1607AA1"/>
    <w:multiLevelType w:val="multilevel"/>
    <w:tmpl w:val="7B503260"/>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5263A30"/>
    <w:multiLevelType w:val="hybridMultilevel"/>
    <w:tmpl w:val="51E65456"/>
    <w:lvl w:ilvl="0" w:tplc="E85A4758">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6D83F4A"/>
    <w:multiLevelType w:val="hybridMultilevel"/>
    <w:tmpl w:val="51F0B91A"/>
    <w:lvl w:ilvl="0" w:tplc="E90CF7E2">
      <w:start w:val="1"/>
      <w:numFmt w:val="decimal"/>
      <w:lvlText w:val="%1."/>
      <w:lvlJc w:val="left"/>
      <w:pPr>
        <w:ind w:left="1069" w:hanging="360"/>
      </w:pPr>
      <w:rPr>
        <w:rFonts w:hint="default"/>
      </w:rPr>
    </w:lvl>
    <w:lvl w:ilvl="1" w:tplc="04020019">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15:restartNumberingAfterBreak="0">
    <w:nsid w:val="09646950"/>
    <w:multiLevelType w:val="hybridMultilevel"/>
    <w:tmpl w:val="1ACA22E4"/>
    <w:lvl w:ilvl="0" w:tplc="AEAC6D8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B753346"/>
    <w:multiLevelType w:val="multilevel"/>
    <w:tmpl w:val="8EFE36B6"/>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1C72645"/>
    <w:multiLevelType w:val="hybridMultilevel"/>
    <w:tmpl w:val="BC8E2A36"/>
    <w:lvl w:ilvl="0" w:tplc="E1C0333C">
      <w:start w:val="1"/>
      <w:numFmt w:val="decimal"/>
      <w:lvlText w:val="%1."/>
      <w:lvlJc w:val="left"/>
      <w:pPr>
        <w:ind w:left="1070" w:hanging="360"/>
      </w:pPr>
      <w:rPr>
        <w:rFonts w:ascii="Times New Roman" w:eastAsia="Times New Roman" w:hAnsi="Times New Roman" w:cs="Times New Roman"/>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7" w15:restartNumberingAfterBreak="0">
    <w:nsid w:val="1598131C"/>
    <w:multiLevelType w:val="hybridMultilevel"/>
    <w:tmpl w:val="F86611D2"/>
    <w:lvl w:ilvl="0" w:tplc="836C5096">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8" w15:restartNumberingAfterBreak="0">
    <w:nsid w:val="1B59697F"/>
    <w:multiLevelType w:val="hybridMultilevel"/>
    <w:tmpl w:val="F8DE2890"/>
    <w:lvl w:ilvl="0" w:tplc="8EE4525A">
      <w:start w:val="1"/>
      <w:numFmt w:val="bullet"/>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14B7084"/>
    <w:multiLevelType w:val="hybridMultilevel"/>
    <w:tmpl w:val="70DC408C"/>
    <w:lvl w:ilvl="0" w:tplc="38B00738">
      <w:start w:val="1"/>
      <w:numFmt w:val="decimal"/>
      <w:lvlText w:val="%1."/>
      <w:lvlJc w:val="left"/>
      <w:pPr>
        <w:ind w:left="1068" w:hanging="360"/>
      </w:pPr>
      <w:rPr>
        <w:rFonts w:hint="default"/>
      </w:rPr>
    </w:lvl>
    <w:lvl w:ilvl="1" w:tplc="04020019">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29FE2A36"/>
    <w:multiLevelType w:val="hybridMultilevel"/>
    <w:tmpl w:val="2C701BF6"/>
    <w:lvl w:ilvl="0" w:tplc="04020001">
      <w:start w:val="1"/>
      <w:numFmt w:val="bullet"/>
      <w:lvlText w:val=""/>
      <w:lvlJc w:val="left"/>
      <w:pPr>
        <w:ind w:left="1488" w:hanging="360"/>
      </w:pPr>
      <w:rPr>
        <w:rFonts w:ascii="Symbol" w:hAnsi="Symbol" w:hint="default"/>
      </w:rPr>
    </w:lvl>
    <w:lvl w:ilvl="1" w:tplc="04020003" w:tentative="1">
      <w:start w:val="1"/>
      <w:numFmt w:val="bullet"/>
      <w:lvlText w:val="o"/>
      <w:lvlJc w:val="left"/>
      <w:pPr>
        <w:ind w:left="2208" w:hanging="360"/>
      </w:pPr>
      <w:rPr>
        <w:rFonts w:ascii="Courier New" w:hAnsi="Courier New" w:cs="Courier New" w:hint="default"/>
      </w:rPr>
    </w:lvl>
    <w:lvl w:ilvl="2" w:tplc="04020005" w:tentative="1">
      <w:start w:val="1"/>
      <w:numFmt w:val="bullet"/>
      <w:lvlText w:val=""/>
      <w:lvlJc w:val="left"/>
      <w:pPr>
        <w:ind w:left="2928" w:hanging="360"/>
      </w:pPr>
      <w:rPr>
        <w:rFonts w:ascii="Wingdings" w:hAnsi="Wingdings" w:hint="default"/>
      </w:rPr>
    </w:lvl>
    <w:lvl w:ilvl="3" w:tplc="04020001" w:tentative="1">
      <w:start w:val="1"/>
      <w:numFmt w:val="bullet"/>
      <w:lvlText w:val=""/>
      <w:lvlJc w:val="left"/>
      <w:pPr>
        <w:ind w:left="3648" w:hanging="360"/>
      </w:pPr>
      <w:rPr>
        <w:rFonts w:ascii="Symbol" w:hAnsi="Symbol" w:hint="default"/>
      </w:rPr>
    </w:lvl>
    <w:lvl w:ilvl="4" w:tplc="04020003" w:tentative="1">
      <w:start w:val="1"/>
      <w:numFmt w:val="bullet"/>
      <w:lvlText w:val="o"/>
      <w:lvlJc w:val="left"/>
      <w:pPr>
        <w:ind w:left="4368" w:hanging="360"/>
      </w:pPr>
      <w:rPr>
        <w:rFonts w:ascii="Courier New" w:hAnsi="Courier New" w:cs="Courier New" w:hint="default"/>
      </w:rPr>
    </w:lvl>
    <w:lvl w:ilvl="5" w:tplc="04020005" w:tentative="1">
      <w:start w:val="1"/>
      <w:numFmt w:val="bullet"/>
      <w:lvlText w:val=""/>
      <w:lvlJc w:val="left"/>
      <w:pPr>
        <w:ind w:left="5088" w:hanging="360"/>
      </w:pPr>
      <w:rPr>
        <w:rFonts w:ascii="Wingdings" w:hAnsi="Wingdings" w:hint="default"/>
      </w:rPr>
    </w:lvl>
    <w:lvl w:ilvl="6" w:tplc="04020001" w:tentative="1">
      <w:start w:val="1"/>
      <w:numFmt w:val="bullet"/>
      <w:lvlText w:val=""/>
      <w:lvlJc w:val="left"/>
      <w:pPr>
        <w:ind w:left="5808" w:hanging="360"/>
      </w:pPr>
      <w:rPr>
        <w:rFonts w:ascii="Symbol" w:hAnsi="Symbol" w:hint="default"/>
      </w:rPr>
    </w:lvl>
    <w:lvl w:ilvl="7" w:tplc="04020003" w:tentative="1">
      <w:start w:val="1"/>
      <w:numFmt w:val="bullet"/>
      <w:lvlText w:val="o"/>
      <w:lvlJc w:val="left"/>
      <w:pPr>
        <w:ind w:left="6528" w:hanging="360"/>
      </w:pPr>
      <w:rPr>
        <w:rFonts w:ascii="Courier New" w:hAnsi="Courier New" w:cs="Courier New" w:hint="default"/>
      </w:rPr>
    </w:lvl>
    <w:lvl w:ilvl="8" w:tplc="04020005" w:tentative="1">
      <w:start w:val="1"/>
      <w:numFmt w:val="bullet"/>
      <w:lvlText w:val=""/>
      <w:lvlJc w:val="left"/>
      <w:pPr>
        <w:ind w:left="7248" w:hanging="360"/>
      </w:pPr>
      <w:rPr>
        <w:rFonts w:ascii="Wingdings" w:hAnsi="Wingdings" w:hint="default"/>
      </w:rPr>
    </w:lvl>
  </w:abstractNum>
  <w:abstractNum w:abstractNumId="11" w15:restartNumberingAfterBreak="0">
    <w:nsid w:val="2D136376"/>
    <w:multiLevelType w:val="hybridMultilevel"/>
    <w:tmpl w:val="C706E3A8"/>
    <w:lvl w:ilvl="0" w:tplc="DB70FD20">
      <w:numFmt w:val="bullet"/>
      <w:lvlText w:val="•"/>
      <w:lvlJc w:val="left"/>
      <w:pPr>
        <w:ind w:left="1069" w:hanging="360"/>
      </w:pPr>
      <w:rPr>
        <w:rFonts w:ascii="Times New Roman" w:eastAsia="Calibr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2" w15:restartNumberingAfterBreak="0">
    <w:nsid w:val="2F5518CB"/>
    <w:multiLevelType w:val="hybridMultilevel"/>
    <w:tmpl w:val="6C240E72"/>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15:restartNumberingAfterBreak="0">
    <w:nsid w:val="30FE35CD"/>
    <w:multiLevelType w:val="hybridMultilevel"/>
    <w:tmpl w:val="E0F248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4414E9C"/>
    <w:multiLevelType w:val="hybridMultilevel"/>
    <w:tmpl w:val="23863298"/>
    <w:lvl w:ilvl="0" w:tplc="77125026">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5" w15:restartNumberingAfterBreak="0">
    <w:nsid w:val="3B655BCF"/>
    <w:multiLevelType w:val="hybridMultilevel"/>
    <w:tmpl w:val="0788545A"/>
    <w:lvl w:ilvl="0" w:tplc="0402000D">
      <w:start w:val="1"/>
      <w:numFmt w:val="bullet"/>
      <w:lvlText w:val=""/>
      <w:lvlJc w:val="left"/>
      <w:pPr>
        <w:ind w:left="1485" w:hanging="360"/>
      </w:pPr>
      <w:rPr>
        <w:rFonts w:ascii="Wingdings" w:hAnsi="Wingdings"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16" w15:restartNumberingAfterBreak="0">
    <w:nsid w:val="3D0B02D7"/>
    <w:multiLevelType w:val="hybridMultilevel"/>
    <w:tmpl w:val="331AFBC0"/>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7" w15:restartNumberingAfterBreak="0">
    <w:nsid w:val="3EDE10C6"/>
    <w:multiLevelType w:val="hybridMultilevel"/>
    <w:tmpl w:val="07A8F65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57858F8"/>
    <w:multiLevelType w:val="hybridMultilevel"/>
    <w:tmpl w:val="66BC9A6A"/>
    <w:lvl w:ilvl="0" w:tplc="DA744B38">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725195E"/>
    <w:multiLevelType w:val="hybridMultilevel"/>
    <w:tmpl w:val="B624330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0" w15:restartNumberingAfterBreak="0">
    <w:nsid w:val="4EFE3281"/>
    <w:multiLevelType w:val="hybridMultilevel"/>
    <w:tmpl w:val="9AE83C0C"/>
    <w:lvl w:ilvl="0" w:tplc="0B94A87E">
      <w:start w:val="1"/>
      <w:numFmt w:val="bullet"/>
      <w:lvlText w:val=""/>
      <w:lvlJc w:val="left"/>
      <w:pPr>
        <w:tabs>
          <w:tab w:val="num" w:pos="3051"/>
        </w:tabs>
        <w:ind w:left="3051" w:hanging="360"/>
      </w:pPr>
      <w:rPr>
        <w:rFonts w:ascii="Symbol" w:hAnsi="Symbol" w:hint="default"/>
        <w:color w:val="auto"/>
      </w:rPr>
    </w:lvl>
    <w:lvl w:ilvl="1" w:tplc="E30CCF80">
      <w:numFmt w:val="bullet"/>
      <w:lvlText w:val="-"/>
      <w:lvlJc w:val="left"/>
      <w:pPr>
        <w:tabs>
          <w:tab w:val="num" w:pos="2342"/>
        </w:tabs>
        <w:ind w:left="2342" w:hanging="360"/>
      </w:pPr>
      <w:rPr>
        <w:rFonts w:ascii="Arial" w:eastAsia="Times New Roman" w:hAnsi="Arial" w:hint="default"/>
        <w:color w:val="auto"/>
      </w:rPr>
    </w:lvl>
    <w:lvl w:ilvl="2" w:tplc="04020005" w:tentative="1">
      <w:start w:val="1"/>
      <w:numFmt w:val="bullet"/>
      <w:lvlText w:val=""/>
      <w:lvlJc w:val="left"/>
      <w:pPr>
        <w:tabs>
          <w:tab w:val="num" w:pos="3062"/>
        </w:tabs>
        <w:ind w:left="3062" w:hanging="360"/>
      </w:pPr>
      <w:rPr>
        <w:rFonts w:ascii="Wingdings" w:hAnsi="Wingdings" w:hint="default"/>
      </w:rPr>
    </w:lvl>
    <w:lvl w:ilvl="3" w:tplc="04020001" w:tentative="1">
      <w:start w:val="1"/>
      <w:numFmt w:val="bullet"/>
      <w:lvlText w:val=""/>
      <w:lvlJc w:val="left"/>
      <w:pPr>
        <w:tabs>
          <w:tab w:val="num" w:pos="3782"/>
        </w:tabs>
        <w:ind w:left="3782" w:hanging="360"/>
      </w:pPr>
      <w:rPr>
        <w:rFonts w:ascii="Symbol" w:hAnsi="Symbol" w:hint="default"/>
      </w:rPr>
    </w:lvl>
    <w:lvl w:ilvl="4" w:tplc="04020003" w:tentative="1">
      <w:start w:val="1"/>
      <w:numFmt w:val="bullet"/>
      <w:lvlText w:val="o"/>
      <w:lvlJc w:val="left"/>
      <w:pPr>
        <w:tabs>
          <w:tab w:val="num" w:pos="4502"/>
        </w:tabs>
        <w:ind w:left="4502" w:hanging="360"/>
      </w:pPr>
      <w:rPr>
        <w:rFonts w:ascii="Courier New" w:hAnsi="Courier New" w:hint="default"/>
      </w:rPr>
    </w:lvl>
    <w:lvl w:ilvl="5" w:tplc="04020005" w:tentative="1">
      <w:start w:val="1"/>
      <w:numFmt w:val="bullet"/>
      <w:lvlText w:val=""/>
      <w:lvlJc w:val="left"/>
      <w:pPr>
        <w:tabs>
          <w:tab w:val="num" w:pos="5222"/>
        </w:tabs>
        <w:ind w:left="5222" w:hanging="360"/>
      </w:pPr>
      <w:rPr>
        <w:rFonts w:ascii="Wingdings" w:hAnsi="Wingdings" w:hint="default"/>
      </w:rPr>
    </w:lvl>
    <w:lvl w:ilvl="6" w:tplc="04020001" w:tentative="1">
      <w:start w:val="1"/>
      <w:numFmt w:val="bullet"/>
      <w:lvlText w:val=""/>
      <w:lvlJc w:val="left"/>
      <w:pPr>
        <w:tabs>
          <w:tab w:val="num" w:pos="5942"/>
        </w:tabs>
        <w:ind w:left="5942" w:hanging="360"/>
      </w:pPr>
      <w:rPr>
        <w:rFonts w:ascii="Symbol" w:hAnsi="Symbol" w:hint="default"/>
      </w:rPr>
    </w:lvl>
    <w:lvl w:ilvl="7" w:tplc="04020003" w:tentative="1">
      <w:start w:val="1"/>
      <w:numFmt w:val="bullet"/>
      <w:lvlText w:val="o"/>
      <w:lvlJc w:val="left"/>
      <w:pPr>
        <w:tabs>
          <w:tab w:val="num" w:pos="6662"/>
        </w:tabs>
        <w:ind w:left="6662" w:hanging="360"/>
      </w:pPr>
      <w:rPr>
        <w:rFonts w:ascii="Courier New" w:hAnsi="Courier New" w:hint="default"/>
      </w:rPr>
    </w:lvl>
    <w:lvl w:ilvl="8" w:tplc="04020005" w:tentative="1">
      <w:start w:val="1"/>
      <w:numFmt w:val="bullet"/>
      <w:lvlText w:val=""/>
      <w:lvlJc w:val="left"/>
      <w:pPr>
        <w:tabs>
          <w:tab w:val="num" w:pos="7382"/>
        </w:tabs>
        <w:ind w:left="7382" w:hanging="360"/>
      </w:pPr>
      <w:rPr>
        <w:rFonts w:ascii="Wingdings" w:hAnsi="Wingdings" w:hint="default"/>
      </w:rPr>
    </w:lvl>
  </w:abstractNum>
  <w:abstractNum w:abstractNumId="21" w15:restartNumberingAfterBreak="0">
    <w:nsid w:val="532E6290"/>
    <w:multiLevelType w:val="hybridMultilevel"/>
    <w:tmpl w:val="DB644A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3604F4A"/>
    <w:multiLevelType w:val="hybridMultilevel"/>
    <w:tmpl w:val="1574415E"/>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3" w15:restartNumberingAfterBreak="0">
    <w:nsid w:val="57F11239"/>
    <w:multiLevelType w:val="multilevel"/>
    <w:tmpl w:val="31CE2F56"/>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4" w15:restartNumberingAfterBreak="0">
    <w:nsid w:val="58B90BFA"/>
    <w:multiLevelType w:val="hybridMultilevel"/>
    <w:tmpl w:val="30769BF8"/>
    <w:lvl w:ilvl="0" w:tplc="FA94CB98">
      <w:start w:val="1"/>
      <w:numFmt w:val="decimal"/>
      <w:lvlText w:val="%1."/>
      <w:lvlJc w:val="left"/>
      <w:pPr>
        <w:ind w:left="928" w:hanging="360"/>
      </w:pPr>
      <w:rPr>
        <w:rFonts w:hint="default"/>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25" w15:restartNumberingAfterBreak="0">
    <w:nsid w:val="59C76019"/>
    <w:multiLevelType w:val="hybridMultilevel"/>
    <w:tmpl w:val="BD54E5C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15:restartNumberingAfterBreak="0">
    <w:nsid w:val="6545539D"/>
    <w:multiLevelType w:val="hybridMultilevel"/>
    <w:tmpl w:val="DDDA7B1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6A8369C7"/>
    <w:multiLevelType w:val="hybridMultilevel"/>
    <w:tmpl w:val="0150C294"/>
    <w:lvl w:ilvl="0" w:tplc="33689FCC">
      <w:start w:val="1"/>
      <w:numFmt w:val="decimal"/>
      <w:lvlText w:val="%1."/>
      <w:lvlJc w:val="left"/>
      <w:pPr>
        <w:ind w:left="927" w:hanging="360"/>
      </w:pPr>
      <w:rPr>
        <w:rFonts w:eastAsia="Batang"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8" w15:restartNumberingAfterBreak="0">
    <w:nsid w:val="6CA70FE6"/>
    <w:multiLevelType w:val="multilevel"/>
    <w:tmpl w:val="5E36B4DC"/>
    <w:lvl w:ilvl="0">
      <w:start w:val="1"/>
      <w:numFmt w:val="decimal"/>
      <w:lvlText w:val="%1."/>
      <w:lvlJc w:val="left"/>
      <w:pPr>
        <w:ind w:left="360" w:hanging="360"/>
      </w:pPr>
      <w:rPr>
        <w:rFonts w:eastAsia="Times New Roman" w:hint="default"/>
        <w:b/>
      </w:rPr>
    </w:lvl>
    <w:lvl w:ilvl="1">
      <w:start w:val="1"/>
      <w:numFmt w:val="decimal"/>
      <w:lvlText w:val="%1.%2."/>
      <w:lvlJc w:val="left"/>
      <w:pPr>
        <w:ind w:left="927" w:hanging="360"/>
      </w:pPr>
      <w:rPr>
        <w:rFonts w:eastAsia="Times New Roman" w:hint="default"/>
        <w:b/>
        <w:sz w:val="24"/>
        <w:szCs w:val="24"/>
      </w:rPr>
    </w:lvl>
    <w:lvl w:ilvl="2">
      <w:start w:val="1"/>
      <w:numFmt w:val="decimal"/>
      <w:lvlText w:val="%1.%2.%3."/>
      <w:lvlJc w:val="left"/>
      <w:pPr>
        <w:ind w:left="1854" w:hanging="720"/>
      </w:pPr>
      <w:rPr>
        <w:rFonts w:eastAsia="Times New Roman" w:hint="default"/>
        <w:b/>
      </w:rPr>
    </w:lvl>
    <w:lvl w:ilvl="3">
      <w:start w:val="1"/>
      <w:numFmt w:val="decimal"/>
      <w:lvlText w:val="%1.%2.%3.%4."/>
      <w:lvlJc w:val="left"/>
      <w:pPr>
        <w:ind w:left="2421" w:hanging="720"/>
      </w:pPr>
      <w:rPr>
        <w:rFonts w:eastAsia="Times New Roman" w:hint="default"/>
        <w:b/>
      </w:rPr>
    </w:lvl>
    <w:lvl w:ilvl="4">
      <w:start w:val="1"/>
      <w:numFmt w:val="decimal"/>
      <w:lvlText w:val="%1.%2.%3.%4.%5."/>
      <w:lvlJc w:val="left"/>
      <w:pPr>
        <w:ind w:left="3348" w:hanging="1080"/>
      </w:pPr>
      <w:rPr>
        <w:rFonts w:eastAsia="Times New Roman" w:hint="default"/>
        <w:b/>
      </w:rPr>
    </w:lvl>
    <w:lvl w:ilvl="5">
      <w:start w:val="1"/>
      <w:numFmt w:val="decimal"/>
      <w:lvlText w:val="%1.%2.%3.%4.%5.%6."/>
      <w:lvlJc w:val="left"/>
      <w:pPr>
        <w:ind w:left="3915" w:hanging="1080"/>
      </w:pPr>
      <w:rPr>
        <w:rFonts w:eastAsia="Times New Roman" w:hint="default"/>
        <w:b/>
      </w:rPr>
    </w:lvl>
    <w:lvl w:ilvl="6">
      <w:start w:val="1"/>
      <w:numFmt w:val="decimal"/>
      <w:lvlText w:val="%1.%2.%3.%4.%5.%6.%7."/>
      <w:lvlJc w:val="left"/>
      <w:pPr>
        <w:ind w:left="4842" w:hanging="1440"/>
      </w:pPr>
      <w:rPr>
        <w:rFonts w:eastAsia="Times New Roman" w:hint="default"/>
        <w:b/>
      </w:rPr>
    </w:lvl>
    <w:lvl w:ilvl="7">
      <w:start w:val="1"/>
      <w:numFmt w:val="decimal"/>
      <w:lvlText w:val="%1.%2.%3.%4.%5.%6.%7.%8."/>
      <w:lvlJc w:val="left"/>
      <w:pPr>
        <w:ind w:left="5409" w:hanging="1440"/>
      </w:pPr>
      <w:rPr>
        <w:rFonts w:eastAsia="Times New Roman" w:hint="default"/>
        <w:b/>
      </w:rPr>
    </w:lvl>
    <w:lvl w:ilvl="8">
      <w:start w:val="1"/>
      <w:numFmt w:val="decimal"/>
      <w:lvlText w:val="%1.%2.%3.%4.%5.%6.%7.%8.%9."/>
      <w:lvlJc w:val="left"/>
      <w:pPr>
        <w:ind w:left="6336" w:hanging="1800"/>
      </w:pPr>
      <w:rPr>
        <w:rFonts w:eastAsia="Times New Roman" w:hint="default"/>
        <w:b/>
      </w:rPr>
    </w:lvl>
  </w:abstractNum>
  <w:abstractNum w:abstractNumId="29" w15:restartNumberingAfterBreak="0">
    <w:nsid w:val="6EF04B87"/>
    <w:multiLevelType w:val="hybridMultilevel"/>
    <w:tmpl w:val="7CBEF2D4"/>
    <w:lvl w:ilvl="0" w:tplc="987680FA">
      <w:numFmt w:val="bullet"/>
      <w:lvlText w:val="-"/>
      <w:lvlJc w:val="left"/>
      <w:pPr>
        <w:ind w:left="1068" w:hanging="360"/>
      </w:pPr>
      <w:rPr>
        <w:rFonts w:ascii="Calibri" w:eastAsia="Calibr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15:restartNumberingAfterBreak="0">
    <w:nsid w:val="6F08673D"/>
    <w:multiLevelType w:val="hybridMultilevel"/>
    <w:tmpl w:val="CD42F5D0"/>
    <w:lvl w:ilvl="0" w:tplc="862CE544">
      <w:start w:val="3"/>
      <w:numFmt w:val="upperRoman"/>
      <w:lvlText w:val="%1."/>
      <w:lvlJc w:val="left"/>
      <w:pPr>
        <w:ind w:left="1428"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1AE6F65"/>
    <w:multiLevelType w:val="hybridMultilevel"/>
    <w:tmpl w:val="7E9EE3B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7326401A"/>
    <w:multiLevelType w:val="hybridMultilevel"/>
    <w:tmpl w:val="E4AC460C"/>
    <w:lvl w:ilvl="0" w:tplc="F75416AA">
      <w:numFmt w:val="bullet"/>
      <w:lvlText w:val=""/>
      <w:lvlJc w:val="left"/>
      <w:pPr>
        <w:ind w:left="720" w:hanging="360"/>
      </w:pPr>
      <w:rPr>
        <w:rFonts w:ascii="Symbol" w:eastAsia="Calibri" w:hAnsi="Symbol"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3" w15:restartNumberingAfterBreak="0">
    <w:nsid w:val="73CD5E10"/>
    <w:multiLevelType w:val="hybridMultilevel"/>
    <w:tmpl w:val="C652B256"/>
    <w:lvl w:ilvl="0" w:tplc="35044900">
      <w:start w:val="1"/>
      <w:numFmt w:val="decimal"/>
      <w:lvlText w:val="%1."/>
      <w:lvlJc w:val="left"/>
      <w:pPr>
        <w:ind w:left="1068" w:hanging="360"/>
      </w:pPr>
      <w:rPr>
        <w:rFonts w:eastAsiaTheme="majorEastAsia" w:hint="default"/>
        <w:b/>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15:restartNumberingAfterBreak="0">
    <w:nsid w:val="776079B7"/>
    <w:multiLevelType w:val="multilevel"/>
    <w:tmpl w:val="7410E556"/>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7E55575A"/>
    <w:multiLevelType w:val="hybridMultilevel"/>
    <w:tmpl w:val="CDCE0B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35"/>
  </w:num>
  <w:num w:numId="4">
    <w:abstractNumId w:val="16"/>
  </w:num>
  <w:num w:numId="5">
    <w:abstractNumId w:val="11"/>
  </w:num>
  <w:num w:numId="6">
    <w:abstractNumId w:val="0"/>
  </w:num>
  <w:num w:numId="7">
    <w:abstractNumId w:val="19"/>
  </w:num>
  <w:num w:numId="8">
    <w:abstractNumId w:val="20"/>
  </w:num>
  <w:num w:numId="9">
    <w:abstractNumId w:val="22"/>
  </w:num>
  <w:num w:numId="10">
    <w:abstractNumId w:val="26"/>
  </w:num>
  <w:num w:numId="11">
    <w:abstractNumId w:val="31"/>
  </w:num>
  <w:num w:numId="12">
    <w:abstractNumId w:val="8"/>
  </w:num>
  <w:num w:numId="13">
    <w:abstractNumId w:val="2"/>
  </w:num>
  <w:num w:numId="14">
    <w:abstractNumId w:val="21"/>
  </w:num>
  <w:num w:numId="15">
    <w:abstractNumId w:val="13"/>
  </w:num>
  <w:num w:numId="16">
    <w:abstractNumId w:val="18"/>
  </w:num>
  <w:num w:numId="17">
    <w:abstractNumId w:val="12"/>
  </w:num>
  <w:num w:numId="18">
    <w:abstractNumId w:val="25"/>
  </w:num>
  <w:num w:numId="19">
    <w:abstractNumId w:val="9"/>
  </w:num>
  <w:num w:numId="20">
    <w:abstractNumId w:val="14"/>
  </w:num>
  <w:num w:numId="21">
    <w:abstractNumId w:val="30"/>
  </w:num>
  <w:num w:numId="22">
    <w:abstractNumId w:val="32"/>
  </w:num>
  <w:num w:numId="23">
    <w:abstractNumId w:val="3"/>
  </w:num>
  <w:num w:numId="24">
    <w:abstractNumId w:val="29"/>
  </w:num>
  <w:num w:numId="25">
    <w:abstractNumId w:val="7"/>
  </w:num>
  <w:num w:numId="26">
    <w:abstractNumId w:val="15"/>
  </w:num>
  <w:num w:numId="27">
    <w:abstractNumId w:val="28"/>
  </w:num>
  <w:num w:numId="28">
    <w:abstractNumId w:val="5"/>
  </w:num>
  <w:num w:numId="29">
    <w:abstractNumId w:val="34"/>
  </w:num>
  <w:num w:numId="30">
    <w:abstractNumId w:val="1"/>
  </w:num>
  <w:num w:numId="31">
    <w:abstractNumId w:val="17"/>
  </w:num>
  <w:num w:numId="32">
    <w:abstractNumId w:val="24"/>
  </w:num>
  <w:num w:numId="33">
    <w:abstractNumId w:val="10"/>
  </w:num>
  <w:num w:numId="34">
    <w:abstractNumId w:val="27"/>
  </w:num>
  <w:num w:numId="35">
    <w:abstractNumId w:val="4"/>
  </w:num>
  <w:num w:numId="36">
    <w:abstractNumId w:val="33"/>
  </w:num>
  <w:num w:numId="37">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ru-RU" w:vendorID="64" w:dllVersion="131078" w:nlCheck="1" w:checkStyle="0"/>
  <w:activeWritingStyle w:appName="MSWord" w:lang="en-US" w:vendorID="64" w:dllVersion="131078" w:nlCheck="1" w:checkStyle="1"/>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994"/>
    <w:rsid w:val="00001740"/>
    <w:rsid w:val="00004C86"/>
    <w:rsid w:val="000058C3"/>
    <w:rsid w:val="00012B0D"/>
    <w:rsid w:val="00012F73"/>
    <w:rsid w:val="00013557"/>
    <w:rsid w:val="000149B7"/>
    <w:rsid w:val="000156D2"/>
    <w:rsid w:val="00022297"/>
    <w:rsid w:val="0002357D"/>
    <w:rsid w:val="00023E90"/>
    <w:rsid w:val="0002436A"/>
    <w:rsid w:val="00030F08"/>
    <w:rsid w:val="00032384"/>
    <w:rsid w:val="000327F9"/>
    <w:rsid w:val="00036F2A"/>
    <w:rsid w:val="00037F6E"/>
    <w:rsid w:val="00044621"/>
    <w:rsid w:val="000461A0"/>
    <w:rsid w:val="00046EF2"/>
    <w:rsid w:val="000478EB"/>
    <w:rsid w:val="00051B3E"/>
    <w:rsid w:val="00052F99"/>
    <w:rsid w:val="0005793B"/>
    <w:rsid w:val="00065CE8"/>
    <w:rsid w:val="00070E4E"/>
    <w:rsid w:val="00071509"/>
    <w:rsid w:val="000756CE"/>
    <w:rsid w:val="00086F44"/>
    <w:rsid w:val="00094591"/>
    <w:rsid w:val="0009538D"/>
    <w:rsid w:val="0009576F"/>
    <w:rsid w:val="000B2527"/>
    <w:rsid w:val="000B43CE"/>
    <w:rsid w:val="000B64DC"/>
    <w:rsid w:val="000B76E0"/>
    <w:rsid w:val="000C11E5"/>
    <w:rsid w:val="000C5E0F"/>
    <w:rsid w:val="000C658C"/>
    <w:rsid w:val="000C7960"/>
    <w:rsid w:val="000D3A3C"/>
    <w:rsid w:val="000D59A4"/>
    <w:rsid w:val="000D7676"/>
    <w:rsid w:val="000E2FAD"/>
    <w:rsid w:val="000E352F"/>
    <w:rsid w:val="000E555E"/>
    <w:rsid w:val="000E580F"/>
    <w:rsid w:val="000F147F"/>
    <w:rsid w:val="000F5945"/>
    <w:rsid w:val="000F69DC"/>
    <w:rsid w:val="000F6FC8"/>
    <w:rsid w:val="000F7927"/>
    <w:rsid w:val="0010243F"/>
    <w:rsid w:val="0010611D"/>
    <w:rsid w:val="00122AD4"/>
    <w:rsid w:val="00124BD0"/>
    <w:rsid w:val="001257B1"/>
    <w:rsid w:val="0012599D"/>
    <w:rsid w:val="00130992"/>
    <w:rsid w:val="00132E43"/>
    <w:rsid w:val="001411A6"/>
    <w:rsid w:val="00142356"/>
    <w:rsid w:val="00142A8C"/>
    <w:rsid w:val="00143A3B"/>
    <w:rsid w:val="00150B69"/>
    <w:rsid w:val="00151FF8"/>
    <w:rsid w:val="00152716"/>
    <w:rsid w:val="001527C0"/>
    <w:rsid w:val="00154020"/>
    <w:rsid w:val="001568CE"/>
    <w:rsid w:val="00165C0D"/>
    <w:rsid w:val="00171739"/>
    <w:rsid w:val="00177A51"/>
    <w:rsid w:val="00177A7D"/>
    <w:rsid w:val="00182EA5"/>
    <w:rsid w:val="00183517"/>
    <w:rsid w:val="00185633"/>
    <w:rsid w:val="00191255"/>
    <w:rsid w:val="00193062"/>
    <w:rsid w:val="001962B6"/>
    <w:rsid w:val="001A0D4C"/>
    <w:rsid w:val="001A2E01"/>
    <w:rsid w:val="001B10C5"/>
    <w:rsid w:val="001B434A"/>
    <w:rsid w:val="001B64D2"/>
    <w:rsid w:val="001C0DB2"/>
    <w:rsid w:val="001C2218"/>
    <w:rsid w:val="001C6191"/>
    <w:rsid w:val="001D21C3"/>
    <w:rsid w:val="001D7F08"/>
    <w:rsid w:val="001E1750"/>
    <w:rsid w:val="001F1513"/>
    <w:rsid w:val="001F4361"/>
    <w:rsid w:val="001F5BDC"/>
    <w:rsid w:val="001F65BE"/>
    <w:rsid w:val="002015FF"/>
    <w:rsid w:val="002018D7"/>
    <w:rsid w:val="002036C0"/>
    <w:rsid w:val="002052FC"/>
    <w:rsid w:val="00205D19"/>
    <w:rsid w:val="00215A90"/>
    <w:rsid w:val="00215DFB"/>
    <w:rsid w:val="0022080F"/>
    <w:rsid w:val="00222918"/>
    <w:rsid w:val="00232B7F"/>
    <w:rsid w:val="00236844"/>
    <w:rsid w:val="002400DD"/>
    <w:rsid w:val="00240A33"/>
    <w:rsid w:val="00244154"/>
    <w:rsid w:val="00246C54"/>
    <w:rsid w:val="002470DF"/>
    <w:rsid w:val="0025407A"/>
    <w:rsid w:val="0025455B"/>
    <w:rsid w:val="002553DA"/>
    <w:rsid w:val="0026014B"/>
    <w:rsid w:val="0026348A"/>
    <w:rsid w:val="00265A8F"/>
    <w:rsid w:val="00267F90"/>
    <w:rsid w:val="00273BBA"/>
    <w:rsid w:val="00277AD5"/>
    <w:rsid w:val="00280EAE"/>
    <w:rsid w:val="00281B05"/>
    <w:rsid w:val="0028317F"/>
    <w:rsid w:val="002838B1"/>
    <w:rsid w:val="00285BB6"/>
    <w:rsid w:val="00294D07"/>
    <w:rsid w:val="002A54D0"/>
    <w:rsid w:val="002A6A9C"/>
    <w:rsid w:val="002A7A8A"/>
    <w:rsid w:val="002B65B3"/>
    <w:rsid w:val="002B6C1F"/>
    <w:rsid w:val="002D6B8A"/>
    <w:rsid w:val="002E05EC"/>
    <w:rsid w:val="002E4EFB"/>
    <w:rsid w:val="00304597"/>
    <w:rsid w:val="003123DF"/>
    <w:rsid w:val="00312B62"/>
    <w:rsid w:val="0031593C"/>
    <w:rsid w:val="00320EC7"/>
    <w:rsid w:val="00321701"/>
    <w:rsid w:val="003243C8"/>
    <w:rsid w:val="00325DF7"/>
    <w:rsid w:val="0032750E"/>
    <w:rsid w:val="003308E2"/>
    <w:rsid w:val="003324C2"/>
    <w:rsid w:val="003325EE"/>
    <w:rsid w:val="003328B3"/>
    <w:rsid w:val="00333B3C"/>
    <w:rsid w:val="003369A2"/>
    <w:rsid w:val="00336D56"/>
    <w:rsid w:val="00340290"/>
    <w:rsid w:val="003406A9"/>
    <w:rsid w:val="003437BA"/>
    <w:rsid w:val="00344ED6"/>
    <w:rsid w:val="00346D57"/>
    <w:rsid w:val="00350DC5"/>
    <w:rsid w:val="00350F7A"/>
    <w:rsid w:val="00356311"/>
    <w:rsid w:val="003567A1"/>
    <w:rsid w:val="00357E8F"/>
    <w:rsid w:val="00373E06"/>
    <w:rsid w:val="00375960"/>
    <w:rsid w:val="0038199F"/>
    <w:rsid w:val="00381C17"/>
    <w:rsid w:val="00383F02"/>
    <w:rsid w:val="00386D19"/>
    <w:rsid w:val="00386F7F"/>
    <w:rsid w:val="00393703"/>
    <w:rsid w:val="00397CBD"/>
    <w:rsid w:val="00397D06"/>
    <w:rsid w:val="003A12E7"/>
    <w:rsid w:val="003A5204"/>
    <w:rsid w:val="003A5974"/>
    <w:rsid w:val="003A6556"/>
    <w:rsid w:val="003A75CA"/>
    <w:rsid w:val="003B381F"/>
    <w:rsid w:val="003B6917"/>
    <w:rsid w:val="003C5C40"/>
    <w:rsid w:val="003D0E97"/>
    <w:rsid w:val="003D1D32"/>
    <w:rsid w:val="003D3355"/>
    <w:rsid w:val="003D4E3F"/>
    <w:rsid w:val="003D58EC"/>
    <w:rsid w:val="003E291C"/>
    <w:rsid w:val="003E2C63"/>
    <w:rsid w:val="003E6AD4"/>
    <w:rsid w:val="003F450A"/>
    <w:rsid w:val="003F79B1"/>
    <w:rsid w:val="00400197"/>
    <w:rsid w:val="00403818"/>
    <w:rsid w:val="004048B0"/>
    <w:rsid w:val="00406D5A"/>
    <w:rsid w:val="00414713"/>
    <w:rsid w:val="00423A1B"/>
    <w:rsid w:val="00425328"/>
    <w:rsid w:val="00430490"/>
    <w:rsid w:val="004321FB"/>
    <w:rsid w:val="00432A42"/>
    <w:rsid w:val="00435C24"/>
    <w:rsid w:val="00437BE2"/>
    <w:rsid w:val="00441346"/>
    <w:rsid w:val="00441FD3"/>
    <w:rsid w:val="0044285B"/>
    <w:rsid w:val="004473D2"/>
    <w:rsid w:val="00447705"/>
    <w:rsid w:val="00451EC5"/>
    <w:rsid w:val="00453212"/>
    <w:rsid w:val="004635A4"/>
    <w:rsid w:val="004647CA"/>
    <w:rsid w:val="004651BA"/>
    <w:rsid w:val="0046743B"/>
    <w:rsid w:val="0047110E"/>
    <w:rsid w:val="004720A7"/>
    <w:rsid w:val="004722EB"/>
    <w:rsid w:val="0047411E"/>
    <w:rsid w:val="00474957"/>
    <w:rsid w:val="00474C0A"/>
    <w:rsid w:val="00475E60"/>
    <w:rsid w:val="0048005A"/>
    <w:rsid w:val="0048344A"/>
    <w:rsid w:val="00485C40"/>
    <w:rsid w:val="0048631D"/>
    <w:rsid w:val="00496987"/>
    <w:rsid w:val="004A3130"/>
    <w:rsid w:val="004A5AD4"/>
    <w:rsid w:val="004A740F"/>
    <w:rsid w:val="004B1CAF"/>
    <w:rsid w:val="004B29E2"/>
    <w:rsid w:val="004B56E5"/>
    <w:rsid w:val="004B7133"/>
    <w:rsid w:val="004C3F40"/>
    <w:rsid w:val="004C5284"/>
    <w:rsid w:val="004C5F35"/>
    <w:rsid w:val="004D1EC7"/>
    <w:rsid w:val="004D5B9F"/>
    <w:rsid w:val="004D6F52"/>
    <w:rsid w:val="004D7985"/>
    <w:rsid w:val="004D7D09"/>
    <w:rsid w:val="004E09FD"/>
    <w:rsid w:val="004E1491"/>
    <w:rsid w:val="004E1501"/>
    <w:rsid w:val="004E20AA"/>
    <w:rsid w:val="004E4C7C"/>
    <w:rsid w:val="004E6243"/>
    <w:rsid w:val="004F3078"/>
    <w:rsid w:val="004F35C7"/>
    <w:rsid w:val="004F38E4"/>
    <w:rsid w:val="004F4622"/>
    <w:rsid w:val="004F7507"/>
    <w:rsid w:val="00500DD6"/>
    <w:rsid w:val="00502BAF"/>
    <w:rsid w:val="00505E20"/>
    <w:rsid w:val="005105EB"/>
    <w:rsid w:val="00512745"/>
    <w:rsid w:val="005148B1"/>
    <w:rsid w:val="00516ACA"/>
    <w:rsid w:val="00523F66"/>
    <w:rsid w:val="00525FA4"/>
    <w:rsid w:val="0052682A"/>
    <w:rsid w:val="00527A84"/>
    <w:rsid w:val="005323E4"/>
    <w:rsid w:val="005326D9"/>
    <w:rsid w:val="00533E01"/>
    <w:rsid w:val="005350CD"/>
    <w:rsid w:val="005359E4"/>
    <w:rsid w:val="00536F20"/>
    <w:rsid w:val="00546122"/>
    <w:rsid w:val="005622BE"/>
    <w:rsid w:val="00563629"/>
    <w:rsid w:val="0057002B"/>
    <w:rsid w:val="00570909"/>
    <w:rsid w:val="00572311"/>
    <w:rsid w:val="0057607B"/>
    <w:rsid w:val="00576E21"/>
    <w:rsid w:val="00577BEA"/>
    <w:rsid w:val="00582A39"/>
    <w:rsid w:val="005842D0"/>
    <w:rsid w:val="005851E4"/>
    <w:rsid w:val="00586F9F"/>
    <w:rsid w:val="00587F04"/>
    <w:rsid w:val="005902BF"/>
    <w:rsid w:val="00591A8F"/>
    <w:rsid w:val="00594FCF"/>
    <w:rsid w:val="00597D82"/>
    <w:rsid w:val="00597DA2"/>
    <w:rsid w:val="005A4130"/>
    <w:rsid w:val="005A69AA"/>
    <w:rsid w:val="005B02C0"/>
    <w:rsid w:val="005B1EF5"/>
    <w:rsid w:val="005B7AA2"/>
    <w:rsid w:val="005C291C"/>
    <w:rsid w:val="005C4C5A"/>
    <w:rsid w:val="005C62EE"/>
    <w:rsid w:val="005D3C32"/>
    <w:rsid w:val="005D6647"/>
    <w:rsid w:val="005D6D45"/>
    <w:rsid w:val="005D78C4"/>
    <w:rsid w:val="005E0692"/>
    <w:rsid w:val="005E53D5"/>
    <w:rsid w:val="005E7447"/>
    <w:rsid w:val="0060279B"/>
    <w:rsid w:val="00607174"/>
    <w:rsid w:val="0060726E"/>
    <w:rsid w:val="00610720"/>
    <w:rsid w:val="0061078A"/>
    <w:rsid w:val="00612444"/>
    <w:rsid w:val="006166FD"/>
    <w:rsid w:val="00620E3E"/>
    <w:rsid w:val="00626386"/>
    <w:rsid w:val="0063142A"/>
    <w:rsid w:val="00632B63"/>
    <w:rsid w:val="006341C7"/>
    <w:rsid w:val="00634994"/>
    <w:rsid w:val="00641118"/>
    <w:rsid w:val="00645346"/>
    <w:rsid w:val="00646F93"/>
    <w:rsid w:val="00661E2B"/>
    <w:rsid w:val="00663345"/>
    <w:rsid w:val="006646D4"/>
    <w:rsid w:val="00665C06"/>
    <w:rsid w:val="00667C3D"/>
    <w:rsid w:val="00673735"/>
    <w:rsid w:val="006835B1"/>
    <w:rsid w:val="00685B3D"/>
    <w:rsid w:val="00690608"/>
    <w:rsid w:val="00693836"/>
    <w:rsid w:val="00697B32"/>
    <w:rsid w:val="006A5920"/>
    <w:rsid w:val="006B2D3F"/>
    <w:rsid w:val="006B669E"/>
    <w:rsid w:val="006D57E1"/>
    <w:rsid w:val="006D6D22"/>
    <w:rsid w:val="006E0167"/>
    <w:rsid w:val="006E1FF8"/>
    <w:rsid w:val="006E356A"/>
    <w:rsid w:val="006E6721"/>
    <w:rsid w:val="006E6EC4"/>
    <w:rsid w:val="006F74F4"/>
    <w:rsid w:val="00704AE0"/>
    <w:rsid w:val="007104DD"/>
    <w:rsid w:val="007130E2"/>
    <w:rsid w:val="00716F08"/>
    <w:rsid w:val="00720FA6"/>
    <w:rsid w:val="00723E9E"/>
    <w:rsid w:val="00725D93"/>
    <w:rsid w:val="007321C2"/>
    <w:rsid w:val="00734A7E"/>
    <w:rsid w:val="00734B1C"/>
    <w:rsid w:val="00735AA5"/>
    <w:rsid w:val="00745CD0"/>
    <w:rsid w:val="00745D6C"/>
    <w:rsid w:val="00747418"/>
    <w:rsid w:val="007529D5"/>
    <w:rsid w:val="00754B8D"/>
    <w:rsid w:val="00755EA9"/>
    <w:rsid w:val="00756023"/>
    <w:rsid w:val="00767A6C"/>
    <w:rsid w:val="007727C9"/>
    <w:rsid w:val="0078230A"/>
    <w:rsid w:val="00783FB3"/>
    <w:rsid w:val="007877C6"/>
    <w:rsid w:val="007879EC"/>
    <w:rsid w:val="007954E2"/>
    <w:rsid w:val="007961D1"/>
    <w:rsid w:val="0079708C"/>
    <w:rsid w:val="007B28D8"/>
    <w:rsid w:val="007B517D"/>
    <w:rsid w:val="007C44A5"/>
    <w:rsid w:val="007C777E"/>
    <w:rsid w:val="007D0489"/>
    <w:rsid w:val="007D06DC"/>
    <w:rsid w:val="007D6B27"/>
    <w:rsid w:val="007E4319"/>
    <w:rsid w:val="0080233E"/>
    <w:rsid w:val="0080555D"/>
    <w:rsid w:val="00806C0C"/>
    <w:rsid w:val="0081016D"/>
    <w:rsid w:val="0081046E"/>
    <w:rsid w:val="00812162"/>
    <w:rsid w:val="00815092"/>
    <w:rsid w:val="00815A8B"/>
    <w:rsid w:val="00815C3A"/>
    <w:rsid w:val="008167D8"/>
    <w:rsid w:val="00821677"/>
    <w:rsid w:val="008231AB"/>
    <w:rsid w:val="00824B38"/>
    <w:rsid w:val="00832519"/>
    <w:rsid w:val="00835348"/>
    <w:rsid w:val="0083707B"/>
    <w:rsid w:val="00842C35"/>
    <w:rsid w:val="008434F0"/>
    <w:rsid w:val="00853906"/>
    <w:rsid w:val="00857356"/>
    <w:rsid w:val="00861564"/>
    <w:rsid w:val="0086266B"/>
    <w:rsid w:val="00865AE0"/>
    <w:rsid w:val="00870A92"/>
    <w:rsid w:val="00872F84"/>
    <w:rsid w:val="00877D72"/>
    <w:rsid w:val="0089042D"/>
    <w:rsid w:val="00891043"/>
    <w:rsid w:val="00893AFD"/>
    <w:rsid w:val="00895A6A"/>
    <w:rsid w:val="00895FE1"/>
    <w:rsid w:val="00897258"/>
    <w:rsid w:val="008A004F"/>
    <w:rsid w:val="008A1E99"/>
    <w:rsid w:val="008A5A19"/>
    <w:rsid w:val="008A5E65"/>
    <w:rsid w:val="008B0E8B"/>
    <w:rsid w:val="008B156D"/>
    <w:rsid w:val="008C414E"/>
    <w:rsid w:val="008C48E5"/>
    <w:rsid w:val="008C4AD2"/>
    <w:rsid w:val="008C5C76"/>
    <w:rsid w:val="008C7722"/>
    <w:rsid w:val="008D2740"/>
    <w:rsid w:val="008D4C22"/>
    <w:rsid w:val="008D6D30"/>
    <w:rsid w:val="008E52EE"/>
    <w:rsid w:val="008F03E4"/>
    <w:rsid w:val="008F292A"/>
    <w:rsid w:val="008F57E7"/>
    <w:rsid w:val="00903DBB"/>
    <w:rsid w:val="00906DA6"/>
    <w:rsid w:val="00907A40"/>
    <w:rsid w:val="00912E01"/>
    <w:rsid w:val="00914E61"/>
    <w:rsid w:val="00915649"/>
    <w:rsid w:val="00917141"/>
    <w:rsid w:val="00925B02"/>
    <w:rsid w:val="00927748"/>
    <w:rsid w:val="0093259C"/>
    <w:rsid w:val="00937DF6"/>
    <w:rsid w:val="009448F9"/>
    <w:rsid w:val="00952704"/>
    <w:rsid w:val="00952874"/>
    <w:rsid w:val="00955E4E"/>
    <w:rsid w:val="0095646A"/>
    <w:rsid w:val="00973E4E"/>
    <w:rsid w:val="00974377"/>
    <w:rsid w:val="0097785F"/>
    <w:rsid w:val="00991909"/>
    <w:rsid w:val="009A0E1D"/>
    <w:rsid w:val="009A3352"/>
    <w:rsid w:val="009A56EE"/>
    <w:rsid w:val="009A5D55"/>
    <w:rsid w:val="009A6C7C"/>
    <w:rsid w:val="009B3A69"/>
    <w:rsid w:val="009B7F2C"/>
    <w:rsid w:val="009B7F5F"/>
    <w:rsid w:val="009C19B3"/>
    <w:rsid w:val="009C4511"/>
    <w:rsid w:val="009C5608"/>
    <w:rsid w:val="009C76CA"/>
    <w:rsid w:val="009D02DB"/>
    <w:rsid w:val="009D1781"/>
    <w:rsid w:val="009D2828"/>
    <w:rsid w:val="009D2DEC"/>
    <w:rsid w:val="009D350B"/>
    <w:rsid w:val="009D78FF"/>
    <w:rsid w:val="009D7D05"/>
    <w:rsid w:val="009E6D4C"/>
    <w:rsid w:val="009F0871"/>
    <w:rsid w:val="009F552D"/>
    <w:rsid w:val="00A117B7"/>
    <w:rsid w:val="00A14BE7"/>
    <w:rsid w:val="00A17B17"/>
    <w:rsid w:val="00A210E1"/>
    <w:rsid w:val="00A23E4B"/>
    <w:rsid w:val="00A24516"/>
    <w:rsid w:val="00A30C6A"/>
    <w:rsid w:val="00A355EA"/>
    <w:rsid w:val="00A37AE7"/>
    <w:rsid w:val="00A40FB5"/>
    <w:rsid w:val="00A41E63"/>
    <w:rsid w:val="00A42C88"/>
    <w:rsid w:val="00A4388D"/>
    <w:rsid w:val="00A44FA4"/>
    <w:rsid w:val="00A47452"/>
    <w:rsid w:val="00A52C0C"/>
    <w:rsid w:val="00A54D9F"/>
    <w:rsid w:val="00A564B0"/>
    <w:rsid w:val="00A611B9"/>
    <w:rsid w:val="00A64AD3"/>
    <w:rsid w:val="00A6713C"/>
    <w:rsid w:val="00A7341E"/>
    <w:rsid w:val="00A773CF"/>
    <w:rsid w:val="00A956E0"/>
    <w:rsid w:val="00AA24B2"/>
    <w:rsid w:val="00AA4FCF"/>
    <w:rsid w:val="00AA58D4"/>
    <w:rsid w:val="00AB01B1"/>
    <w:rsid w:val="00AB1935"/>
    <w:rsid w:val="00AB3CB6"/>
    <w:rsid w:val="00AB4A39"/>
    <w:rsid w:val="00AB5B27"/>
    <w:rsid w:val="00AB6570"/>
    <w:rsid w:val="00AC29FD"/>
    <w:rsid w:val="00AD20FF"/>
    <w:rsid w:val="00AE3D92"/>
    <w:rsid w:val="00AE507C"/>
    <w:rsid w:val="00AE6D3E"/>
    <w:rsid w:val="00AE6EA9"/>
    <w:rsid w:val="00AE79AE"/>
    <w:rsid w:val="00B00F66"/>
    <w:rsid w:val="00B01C49"/>
    <w:rsid w:val="00B03392"/>
    <w:rsid w:val="00B148FB"/>
    <w:rsid w:val="00B1724A"/>
    <w:rsid w:val="00B17DD8"/>
    <w:rsid w:val="00B20006"/>
    <w:rsid w:val="00B20862"/>
    <w:rsid w:val="00B20E68"/>
    <w:rsid w:val="00B21545"/>
    <w:rsid w:val="00B21CAC"/>
    <w:rsid w:val="00B46623"/>
    <w:rsid w:val="00B4709A"/>
    <w:rsid w:val="00B47562"/>
    <w:rsid w:val="00B5043B"/>
    <w:rsid w:val="00B539D8"/>
    <w:rsid w:val="00B53F4F"/>
    <w:rsid w:val="00B5410B"/>
    <w:rsid w:val="00B64BEF"/>
    <w:rsid w:val="00B71C99"/>
    <w:rsid w:val="00B73C64"/>
    <w:rsid w:val="00B74AE5"/>
    <w:rsid w:val="00B86954"/>
    <w:rsid w:val="00B909A8"/>
    <w:rsid w:val="00B9344B"/>
    <w:rsid w:val="00BA4B7F"/>
    <w:rsid w:val="00BA510D"/>
    <w:rsid w:val="00BB14E9"/>
    <w:rsid w:val="00BB2E6A"/>
    <w:rsid w:val="00BB3E90"/>
    <w:rsid w:val="00BB426C"/>
    <w:rsid w:val="00BB61BE"/>
    <w:rsid w:val="00BB7F44"/>
    <w:rsid w:val="00BC0999"/>
    <w:rsid w:val="00BC1016"/>
    <w:rsid w:val="00BC3069"/>
    <w:rsid w:val="00BD08DE"/>
    <w:rsid w:val="00BD0A82"/>
    <w:rsid w:val="00BD18DA"/>
    <w:rsid w:val="00BD2EDA"/>
    <w:rsid w:val="00BE4562"/>
    <w:rsid w:val="00BE79B9"/>
    <w:rsid w:val="00C03988"/>
    <w:rsid w:val="00C05CF3"/>
    <w:rsid w:val="00C05DD8"/>
    <w:rsid w:val="00C102BF"/>
    <w:rsid w:val="00C109C6"/>
    <w:rsid w:val="00C14F1C"/>
    <w:rsid w:val="00C233D6"/>
    <w:rsid w:val="00C266D3"/>
    <w:rsid w:val="00C33ABA"/>
    <w:rsid w:val="00C34311"/>
    <w:rsid w:val="00C345BF"/>
    <w:rsid w:val="00C356E4"/>
    <w:rsid w:val="00C37B37"/>
    <w:rsid w:val="00C44E71"/>
    <w:rsid w:val="00C450E0"/>
    <w:rsid w:val="00C46EE8"/>
    <w:rsid w:val="00C50DED"/>
    <w:rsid w:val="00C527F5"/>
    <w:rsid w:val="00C5779C"/>
    <w:rsid w:val="00C612BB"/>
    <w:rsid w:val="00C61E5B"/>
    <w:rsid w:val="00C62E54"/>
    <w:rsid w:val="00C739AD"/>
    <w:rsid w:val="00C74CEE"/>
    <w:rsid w:val="00C802CE"/>
    <w:rsid w:val="00C80A4B"/>
    <w:rsid w:val="00C827C7"/>
    <w:rsid w:val="00C82F4D"/>
    <w:rsid w:val="00C857C0"/>
    <w:rsid w:val="00C92D2C"/>
    <w:rsid w:val="00C95113"/>
    <w:rsid w:val="00C9529A"/>
    <w:rsid w:val="00C9563E"/>
    <w:rsid w:val="00C973F6"/>
    <w:rsid w:val="00CB13A4"/>
    <w:rsid w:val="00CB1C3F"/>
    <w:rsid w:val="00CB3865"/>
    <w:rsid w:val="00CB77FF"/>
    <w:rsid w:val="00CC0D8F"/>
    <w:rsid w:val="00CC25A7"/>
    <w:rsid w:val="00CC3710"/>
    <w:rsid w:val="00CC4C66"/>
    <w:rsid w:val="00CE5CE8"/>
    <w:rsid w:val="00D021A9"/>
    <w:rsid w:val="00D11963"/>
    <w:rsid w:val="00D12772"/>
    <w:rsid w:val="00D12D18"/>
    <w:rsid w:val="00D13236"/>
    <w:rsid w:val="00D15CBB"/>
    <w:rsid w:val="00D22DCA"/>
    <w:rsid w:val="00D233DF"/>
    <w:rsid w:val="00D238F3"/>
    <w:rsid w:val="00D30561"/>
    <w:rsid w:val="00D30C27"/>
    <w:rsid w:val="00D41AF3"/>
    <w:rsid w:val="00D508DE"/>
    <w:rsid w:val="00D542EB"/>
    <w:rsid w:val="00D54ECE"/>
    <w:rsid w:val="00D5673B"/>
    <w:rsid w:val="00D577E0"/>
    <w:rsid w:val="00D651A7"/>
    <w:rsid w:val="00D65BB9"/>
    <w:rsid w:val="00D67B2D"/>
    <w:rsid w:val="00D70D78"/>
    <w:rsid w:val="00D74BF3"/>
    <w:rsid w:val="00D7642F"/>
    <w:rsid w:val="00D803B0"/>
    <w:rsid w:val="00D90B7C"/>
    <w:rsid w:val="00D94656"/>
    <w:rsid w:val="00D9647E"/>
    <w:rsid w:val="00D96FF1"/>
    <w:rsid w:val="00D9717D"/>
    <w:rsid w:val="00D973BC"/>
    <w:rsid w:val="00DA2A0F"/>
    <w:rsid w:val="00DA5E02"/>
    <w:rsid w:val="00DB269E"/>
    <w:rsid w:val="00DB5AEE"/>
    <w:rsid w:val="00DB66D9"/>
    <w:rsid w:val="00DC1B19"/>
    <w:rsid w:val="00DC44E2"/>
    <w:rsid w:val="00DC5308"/>
    <w:rsid w:val="00DD2BCF"/>
    <w:rsid w:val="00DD47D3"/>
    <w:rsid w:val="00DD747B"/>
    <w:rsid w:val="00DE204A"/>
    <w:rsid w:val="00DF0185"/>
    <w:rsid w:val="00E01158"/>
    <w:rsid w:val="00E01164"/>
    <w:rsid w:val="00E03E2C"/>
    <w:rsid w:val="00E04F8E"/>
    <w:rsid w:val="00E0533F"/>
    <w:rsid w:val="00E07E25"/>
    <w:rsid w:val="00E11F76"/>
    <w:rsid w:val="00E14867"/>
    <w:rsid w:val="00E14F43"/>
    <w:rsid w:val="00E16CC5"/>
    <w:rsid w:val="00E22155"/>
    <w:rsid w:val="00E248E1"/>
    <w:rsid w:val="00E25F37"/>
    <w:rsid w:val="00E30400"/>
    <w:rsid w:val="00E3148D"/>
    <w:rsid w:val="00E3359A"/>
    <w:rsid w:val="00E3619F"/>
    <w:rsid w:val="00E43DD2"/>
    <w:rsid w:val="00E46A16"/>
    <w:rsid w:val="00E46E11"/>
    <w:rsid w:val="00E6002D"/>
    <w:rsid w:val="00E65D15"/>
    <w:rsid w:val="00E67EED"/>
    <w:rsid w:val="00E706D4"/>
    <w:rsid w:val="00E774EF"/>
    <w:rsid w:val="00E81288"/>
    <w:rsid w:val="00E8400D"/>
    <w:rsid w:val="00E85476"/>
    <w:rsid w:val="00E92800"/>
    <w:rsid w:val="00EA201F"/>
    <w:rsid w:val="00EA20F6"/>
    <w:rsid w:val="00EA24B5"/>
    <w:rsid w:val="00EA30ED"/>
    <w:rsid w:val="00EB08F4"/>
    <w:rsid w:val="00EB7239"/>
    <w:rsid w:val="00EC0208"/>
    <w:rsid w:val="00EC7480"/>
    <w:rsid w:val="00ED64C0"/>
    <w:rsid w:val="00EE4B9C"/>
    <w:rsid w:val="00EE5398"/>
    <w:rsid w:val="00EF5743"/>
    <w:rsid w:val="00F00BF9"/>
    <w:rsid w:val="00F01722"/>
    <w:rsid w:val="00F14AA6"/>
    <w:rsid w:val="00F334E2"/>
    <w:rsid w:val="00F35816"/>
    <w:rsid w:val="00F404EC"/>
    <w:rsid w:val="00F435F5"/>
    <w:rsid w:val="00F44549"/>
    <w:rsid w:val="00F46841"/>
    <w:rsid w:val="00F60576"/>
    <w:rsid w:val="00F626C2"/>
    <w:rsid w:val="00F645AD"/>
    <w:rsid w:val="00F65A00"/>
    <w:rsid w:val="00F706BC"/>
    <w:rsid w:val="00F71E67"/>
    <w:rsid w:val="00F7286E"/>
    <w:rsid w:val="00F742C5"/>
    <w:rsid w:val="00F75711"/>
    <w:rsid w:val="00F77261"/>
    <w:rsid w:val="00F92718"/>
    <w:rsid w:val="00F92EA0"/>
    <w:rsid w:val="00F94B3A"/>
    <w:rsid w:val="00F9599D"/>
    <w:rsid w:val="00F963F0"/>
    <w:rsid w:val="00F9689E"/>
    <w:rsid w:val="00FA3534"/>
    <w:rsid w:val="00FA49E5"/>
    <w:rsid w:val="00FA67EE"/>
    <w:rsid w:val="00FB2560"/>
    <w:rsid w:val="00FB45DC"/>
    <w:rsid w:val="00FB651E"/>
    <w:rsid w:val="00FB7842"/>
    <w:rsid w:val="00FB7C65"/>
    <w:rsid w:val="00FC13B4"/>
    <w:rsid w:val="00FC336B"/>
    <w:rsid w:val="00FC3A7B"/>
    <w:rsid w:val="00FC455F"/>
    <w:rsid w:val="00FC6728"/>
    <w:rsid w:val="00FC7FB7"/>
    <w:rsid w:val="00FD4028"/>
    <w:rsid w:val="00FD51B2"/>
    <w:rsid w:val="00FE0164"/>
    <w:rsid w:val="00FF3992"/>
    <w:rsid w:val="00FF3E05"/>
    <w:rsid w:val="00FF571E"/>
    <w:rsid w:val="00FF745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F8BD3"/>
  <w15:docId w15:val="{C6A5C9F3-B7DE-4882-BB8D-5FF91C46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257B1"/>
    <w:pPr>
      <w:spacing w:after="280" w:line="280" w:lineRule="atLeast"/>
    </w:pPr>
    <w:rPr>
      <w:rFonts w:ascii="Times New Roman" w:eastAsia="Times New Roman" w:hAnsi="Times New Roman" w:cs="Times New Roman"/>
      <w:bCs/>
      <w:color w:val="0A55A3"/>
      <w:sz w:val="42"/>
      <w:szCs w:val="32"/>
      <w:lang w:val="x-none"/>
    </w:rPr>
  </w:style>
  <w:style w:type="character" w:customStyle="1" w:styleId="TitleChar">
    <w:name w:val="Title Char"/>
    <w:basedOn w:val="DefaultParagraphFont"/>
    <w:link w:val="Title"/>
    <w:rsid w:val="001257B1"/>
    <w:rPr>
      <w:rFonts w:ascii="Times New Roman" w:eastAsia="Times New Roman" w:hAnsi="Times New Roman" w:cs="Times New Roman"/>
      <w:bCs/>
      <w:color w:val="0A55A3"/>
      <w:sz w:val="42"/>
      <w:szCs w:val="32"/>
      <w:lang w:val="x-none"/>
    </w:rPr>
  </w:style>
  <w:style w:type="paragraph" w:styleId="BodyText">
    <w:name w:val="Body Text"/>
    <w:basedOn w:val="Normal"/>
    <w:link w:val="BodyTextChar"/>
    <w:unhideWhenUsed/>
    <w:rsid w:val="00BC3069"/>
    <w:pPr>
      <w:spacing w:after="0" w:line="280" w:lineRule="atLeast"/>
      <w:jc w:val="both"/>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rsid w:val="00BC3069"/>
    <w:rPr>
      <w:rFonts w:ascii="Times New Roman" w:eastAsia="Times New Roman" w:hAnsi="Times New Roman" w:cs="Times New Roman"/>
      <w:szCs w:val="24"/>
      <w:lang w:val="en-US"/>
    </w:rPr>
  </w:style>
  <w:style w:type="character" w:customStyle="1" w:styleId="ListParagraphChar">
    <w:name w:val="List Paragraph Char"/>
    <w:link w:val="ListParagraph"/>
    <w:locked/>
    <w:rsid w:val="00BC3069"/>
    <w:rPr>
      <w:sz w:val="24"/>
      <w:szCs w:val="24"/>
    </w:rPr>
  </w:style>
  <w:style w:type="paragraph" w:styleId="ListParagraph">
    <w:name w:val="List Paragraph"/>
    <w:basedOn w:val="Normal"/>
    <w:link w:val="ListParagraphChar"/>
    <w:qFormat/>
    <w:rsid w:val="00BC3069"/>
    <w:pPr>
      <w:spacing w:after="0" w:line="240" w:lineRule="auto"/>
      <w:ind w:left="708"/>
    </w:pPr>
    <w:rPr>
      <w:sz w:val="24"/>
      <w:szCs w:val="24"/>
    </w:rPr>
  </w:style>
  <w:style w:type="paragraph" w:styleId="Header">
    <w:name w:val="header"/>
    <w:basedOn w:val="Normal"/>
    <w:link w:val="HeaderChar"/>
    <w:uiPriority w:val="99"/>
    <w:unhideWhenUsed/>
    <w:rsid w:val="004749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4957"/>
  </w:style>
  <w:style w:type="paragraph" w:styleId="Footer">
    <w:name w:val="footer"/>
    <w:basedOn w:val="Normal"/>
    <w:link w:val="FooterChar"/>
    <w:uiPriority w:val="99"/>
    <w:unhideWhenUsed/>
    <w:rsid w:val="004749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4957"/>
  </w:style>
  <w:style w:type="character" w:styleId="Hyperlink">
    <w:name w:val="Hyperlink"/>
    <w:uiPriority w:val="99"/>
    <w:unhideWhenUsed/>
    <w:rsid w:val="00044621"/>
    <w:rPr>
      <w:strike w:val="0"/>
      <w:dstrike w:val="0"/>
      <w:color w:val="000000"/>
      <w:u w:val="none"/>
      <w:effect w:val="none"/>
    </w:rPr>
  </w:style>
  <w:style w:type="paragraph" w:styleId="NormalWeb">
    <w:name w:val="Normal (Web)"/>
    <w:basedOn w:val="Normal"/>
    <w:uiPriority w:val="99"/>
    <w:unhideWhenUsed/>
    <w:rsid w:val="00044621"/>
    <w:pPr>
      <w:spacing w:after="0" w:line="240" w:lineRule="auto"/>
      <w:ind w:firstLine="990"/>
      <w:jc w:val="both"/>
    </w:pPr>
    <w:rPr>
      <w:rFonts w:ascii="Times New Roman" w:eastAsia="Times New Roman" w:hAnsi="Times New Roman" w:cs="Times New Roman"/>
      <w:color w:val="000000"/>
      <w:sz w:val="24"/>
      <w:szCs w:val="24"/>
      <w:lang w:eastAsia="bg-BG"/>
    </w:rPr>
  </w:style>
  <w:style w:type="character" w:styleId="Strong">
    <w:name w:val="Strong"/>
    <w:basedOn w:val="DefaultParagraphFont"/>
    <w:uiPriority w:val="22"/>
    <w:qFormat/>
    <w:rsid w:val="00132E43"/>
    <w:rPr>
      <w:b/>
      <w:bCs/>
    </w:rPr>
  </w:style>
  <w:style w:type="paragraph" w:styleId="FootnoteText">
    <w:name w:val="footnote text"/>
    <w:aliases w:val="fn,ALTS FOOTNOTE,fn Char,fn Char Char,fn Char Char Char Char Char Char,fn Char Char Char Char,fn Char Char Char Char Char Char Char Char,fn Char Char1 Char Char,Char Char Char Char Char,Char Char,fn Char Char1 Char,fn Char Char1 Char Cha"/>
    <w:basedOn w:val="Normal"/>
    <w:link w:val="FootnoteTextChar"/>
    <w:uiPriority w:val="99"/>
    <w:qFormat/>
    <w:rsid w:val="00806C0C"/>
    <w:pPr>
      <w:spacing w:after="0" w:line="240" w:lineRule="auto"/>
    </w:pPr>
    <w:rPr>
      <w:rFonts w:ascii="Times New Roman" w:eastAsia="Times New Roman" w:hAnsi="Times New Roman" w:cs="Times New Roman"/>
      <w:sz w:val="20"/>
      <w:szCs w:val="20"/>
      <w:lang w:eastAsia="bg-BG"/>
    </w:rPr>
  </w:style>
  <w:style w:type="character" w:customStyle="1" w:styleId="FootnoteTextChar">
    <w:name w:val="Footnote Text Char"/>
    <w:aliases w:val="fn Char1,ALTS FOOTNOTE Char,fn Char Char1,fn Char Char Char,fn Char Char Char Char Char Char Char,fn Char Char Char Char Char,fn Char Char Char Char Char Char Char Char Char,fn Char Char1 Char Char Char,Char Char Char Char Char Char"/>
    <w:basedOn w:val="DefaultParagraphFont"/>
    <w:link w:val="FootnoteText"/>
    <w:uiPriority w:val="99"/>
    <w:rsid w:val="00806C0C"/>
    <w:rPr>
      <w:rFonts w:ascii="Times New Roman" w:eastAsia="Times New Roman" w:hAnsi="Times New Roman" w:cs="Times New Roman"/>
      <w:sz w:val="20"/>
      <w:szCs w:val="20"/>
      <w:lang w:eastAsia="bg-BG"/>
    </w:rPr>
  </w:style>
  <w:style w:type="character" w:styleId="FootnoteReference">
    <w:name w:val="footnote reference"/>
    <w:aliases w:val="fr,(NECG) Footnote Reference,Appel note de bas de p,Footnote symbol,Footnote,SUPERS,Nota,Voetnootverwijzing,o,-E Fußnotenzeichen,FC,-E Fuﬂnotenzeichen,Ref,de nota al pie,Footnote number,-E Fuﾟnotenzeichen,Style 6,Style 20"/>
    <w:link w:val="ZFootnoteText"/>
    <w:uiPriority w:val="99"/>
    <w:qFormat/>
    <w:rsid w:val="00806C0C"/>
    <w:rPr>
      <w:vertAlign w:val="superscript"/>
    </w:rPr>
  </w:style>
  <w:style w:type="paragraph" w:styleId="BalloonText">
    <w:name w:val="Balloon Text"/>
    <w:basedOn w:val="Normal"/>
    <w:link w:val="BalloonTextChar"/>
    <w:uiPriority w:val="99"/>
    <w:semiHidden/>
    <w:unhideWhenUsed/>
    <w:rsid w:val="00E25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F37"/>
    <w:rPr>
      <w:rFonts w:ascii="Tahoma" w:hAnsi="Tahoma" w:cs="Tahoma"/>
      <w:sz w:val="16"/>
      <w:szCs w:val="16"/>
    </w:rPr>
  </w:style>
  <w:style w:type="character" w:styleId="CommentReference">
    <w:name w:val="annotation reference"/>
    <w:basedOn w:val="DefaultParagraphFont"/>
    <w:uiPriority w:val="99"/>
    <w:semiHidden/>
    <w:unhideWhenUsed/>
    <w:rsid w:val="00E25F37"/>
    <w:rPr>
      <w:sz w:val="16"/>
      <w:szCs w:val="16"/>
    </w:rPr>
  </w:style>
  <w:style w:type="paragraph" w:styleId="CommentText">
    <w:name w:val="annotation text"/>
    <w:basedOn w:val="Normal"/>
    <w:link w:val="CommentTextChar"/>
    <w:uiPriority w:val="99"/>
    <w:semiHidden/>
    <w:unhideWhenUsed/>
    <w:rsid w:val="00E25F37"/>
    <w:pPr>
      <w:spacing w:line="240" w:lineRule="auto"/>
    </w:pPr>
    <w:rPr>
      <w:sz w:val="20"/>
      <w:szCs w:val="20"/>
    </w:rPr>
  </w:style>
  <w:style w:type="character" w:customStyle="1" w:styleId="CommentTextChar">
    <w:name w:val="Comment Text Char"/>
    <w:basedOn w:val="DefaultParagraphFont"/>
    <w:link w:val="CommentText"/>
    <w:uiPriority w:val="99"/>
    <w:semiHidden/>
    <w:rsid w:val="00E25F37"/>
    <w:rPr>
      <w:sz w:val="20"/>
      <w:szCs w:val="20"/>
    </w:rPr>
  </w:style>
  <w:style w:type="paragraph" w:styleId="CommentSubject">
    <w:name w:val="annotation subject"/>
    <w:basedOn w:val="CommentText"/>
    <w:next w:val="CommentText"/>
    <w:link w:val="CommentSubjectChar"/>
    <w:uiPriority w:val="99"/>
    <w:semiHidden/>
    <w:unhideWhenUsed/>
    <w:rsid w:val="00E25F37"/>
    <w:rPr>
      <w:b/>
      <w:bCs/>
    </w:rPr>
  </w:style>
  <w:style w:type="character" w:customStyle="1" w:styleId="CommentSubjectChar">
    <w:name w:val="Comment Subject Char"/>
    <w:basedOn w:val="CommentTextChar"/>
    <w:link w:val="CommentSubject"/>
    <w:uiPriority w:val="99"/>
    <w:semiHidden/>
    <w:rsid w:val="00E25F37"/>
    <w:rPr>
      <w:b/>
      <w:bCs/>
      <w:sz w:val="20"/>
      <w:szCs w:val="20"/>
    </w:rPr>
  </w:style>
  <w:style w:type="paragraph" w:customStyle="1" w:styleId="ZFootnoteText">
    <w:name w:val="Z_Footnote Text"/>
    <w:basedOn w:val="Normal"/>
    <w:link w:val="FootnoteReference"/>
    <w:uiPriority w:val="99"/>
    <w:rsid w:val="00914E61"/>
    <w:pPr>
      <w:spacing w:line="240" w:lineRule="exact"/>
      <w:jc w:val="both"/>
    </w:pPr>
    <w:rPr>
      <w:vertAlign w:val="superscript"/>
    </w:rPr>
  </w:style>
  <w:style w:type="paragraph" w:styleId="NoSpacing">
    <w:name w:val="No Spacing"/>
    <w:uiPriority w:val="1"/>
    <w:qFormat/>
    <w:rsid w:val="00AA4FCF"/>
    <w:pPr>
      <w:spacing w:after="0" w:line="240" w:lineRule="auto"/>
    </w:pPr>
  </w:style>
  <w:style w:type="paragraph" w:customStyle="1" w:styleId="paragraph">
    <w:name w:val="paragraph"/>
    <w:basedOn w:val="Normal"/>
    <w:rsid w:val="00A24516"/>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478">
      <w:bodyDiv w:val="1"/>
      <w:marLeft w:val="0"/>
      <w:marRight w:val="0"/>
      <w:marTop w:val="0"/>
      <w:marBottom w:val="0"/>
      <w:divBdr>
        <w:top w:val="none" w:sz="0" w:space="0" w:color="auto"/>
        <w:left w:val="none" w:sz="0" w:space="0" w:color="auto"/>
        <w:bottom w:val="none" w:sz="0" w:space="0" w:color="auto"/>
        <w:right w:val="none" w:sz="0" w:space="0" w:color="auto"/>
      </w:divBdr>
    </w:div>
    <w:div w:id="64645995">
      <w:bodyDiv w:val="1"/>
      <w:marLeft w:val="0"/>
      <w:marRight w:val="0"/>
      <w:marTop w:val="0"/>
      <w:marBottom w:val="0"/>
      <w:divBdr>
        <w:top w:val="none" w:sz="0" w:space="0" w:color="auto"/>
        <w:left w:val="none" w:sz="0" w:space="0" w:color="auto"/>
        <w:bottom w:val="none" w:sz="0" w:space="0" w:color="auto"/>
        <w:right w:val="none" w:sz="0" w:space="0" w:color="auto"/>
      </w:divBdr>
    </w:div>
    <w:div w:id="116065504">
      <w:bodyDiv w:val="1"/>
      <w:marLeft w:val="0"/>
      <w:marRight w:val="0"/>
      <w:marTop w:val="0"/>
      <w:marBottom w:val="0"/>
      <w:divBdr>
        <w:top w:val="none" w:sz="0" w:space="0" w:color="auto"/>
        <w:left w:val="none" w:sz="0" w:space="0" w:color="auto"/>
        <w:bottom w:val="none" w:sz="0" w:space="0" w:color="auto"/>
        <w:right w:val="none" w:sz="0" w:space="0" w:color="auto"/>
      </w:divBdr>
    </w:div>
    <w:div w:id="141435943">
      <w:bodyDiv w:val="1"/>
      <w:marLeft w:val="0"/>
      <w:marRight w:val="0"/>
      <w:marTop w:val="0"/>
      <w:marBottom w:val="0"/>
      <w:divBdr>
        <w:top w:val="none" w:sz="0" w:space="0" w:color="auto"/>
        <w:left w:val="none" w:sz="0" w:space="0" w:color="auto"/>
        <w:bottom w:val="none" w:sz="0" w:space="0" w:color="auto"/>
        <w:right w:val="none" w:sz="0" w:space="0" w:color="auto"/>
      </w:divBdr>
    </w:div>
    <w:div w:id="186330984">
      <w:bodyDiv w:val="1"/>
      <w:marLeft w:val="0"/>
      <w:marRight w:val="0"/>
      <w:marTop w:val="0"/>
      <w:marBottom w:val="0"/>
      <w:divBdr>
        <w:top w:val="none" w:sz="0" w:space="0" w:color="auto"/>
        <w:left w:val="none" w:sz="0" w:space="0" w:color="auto"/>
        <w:bottom w:val="none" w:sz="0" w:space="0" w:color="auto"/>
        <w:right w:val="none" w:sz="0" w:space="0" w:color="auto"/>
      </w:divBdr>
    </w:div>
    <w:div w:id="224723298">
      <w:bodyDiv w:val="1"/>
      <w:marLeft w:val="0"/>
      <w:marRight w:val="0"/>
      <w:marTop w:val="0"/>
      <w:marBottom w:val="0"/>
      <w:divBdr>
        <w:top w:val="none" w:sz="0" w:space="0" w:color="auto"/>
        <w:left w:val="none" w:sz="0" w:space="0" w:color="auto"/>
        <w:bottom w:val="none" w:sz="0" w:space="0" w:color="auto"/>
        <w:right w:val="none" w:sz="0" w:space="0" w:color="auto"/>
      </w:divBdr>
    </w:div>
    <w:div w:id="265383190">
      <w:bodyDiv w:val="1"/>
      <w:marLeft w:val="0"/>
      <w:marRight w:val="0"/>
      <w:marTop w:val="0"/>
      <w:marBottom w:val="0"/>
      <w:divBdr>
        <w:top w:val="none" w:sz="0" w:space="0" w:color="auto"/>
        <w:left w:val="none" w:sz="0" w:space="0" w:color="auto"/>
        <w:bottom w:val="none" w:sz="0" w:space="0" w:color="auto"/>
        <w:right w:val="none" w:sz="0" w:space="0" w:color="auto"/>
      </w:divBdr>
    </w:div>
    <w:div w:id="294485764">
      <w:bodyDiv w:val="1"/>
      <w:marLeft w:val="0"/>
      <w:marRight w:val="0"/>
      <w:marTop w:val="0"/>
      <w:marBottom w:val="0"/>
      <w:divBdr>
        <w:top w:val="none" w:sz="0" w:space="0" w:color="auto"/>
        <w:left w:val="none" w:sz="0" w:space="0" w:color="auto"/>
        <w:bottom w:val="none" w:sz="0" w:space="0" w:color="auto"/>
        <w:right w:val="none" w:sz="0" w:space="0" w:color="auto"/>
      </w:divBdr>
    </w:div>
    <w:div w:id="342125331">
      <w:bodyDiv w:val="1"/>
      <w:marLeft w:val="0"/>
      <w:marRight w:val="0"/>
      <w:marTop w:val="0"/>
      <w:marBottom w:val="0"/>
      <w:divBdr>
        <w:top w:val="none" w:sz="0" w:space="0" w:color="auto"/>
        <w:left w:val="none" w:sz="0" w:space="0" w:color="auto"/>
        <w:bottom w:val="none" w:sz="0" w:space="0" w:color="auto"/>
        <w:right w:val="none" w:sz="0" w:space="0" w:color="auto"/>
      </w:divBdr>
    </w:div>
    <w:div w:id="368578471">
      <w:bodyDiv w:val="1"/>
      <w:marLeft w:val="0"/>
      <w:marRight w:val="0"/>
      <w:marTop w:val="0"/>
      <w:marBottom w:val="0"/>
      <w:divBdr>
        <w:top w:val="none" w:sz="0" w:space="0" w:color="auto"/>
        <w:left w:val="none" w:sz="0" w:space="0" w:color="auto"/>
        <w:bottom w:val="none" w:sz="0" w:space="0" w:color="auto"/>
        <w:right w:val="none" w:sz="0" w:space="0" w:color="auto"/>
      </w:divBdr>
    </w:div>
    <w:div w:id="394278617">
      <w:bodyDiv w:val="1"/>
      <w:marLeft w:val="0"/>
      <w:marRight w:val="0"/>
      <w:marTop w:val="0"/>
      <w:marBottom w:val="0"/>
      <w:divBdr>
        <w:top w:val="none" w:sz="0" w:space="0" w:color="auto"/>
        <w:left w:val="none" w:sz="0" w:space="0" w:color="auto"/>
        <w:bottom w:val="none" w:sz="0" w:space="0" w:color="auto"/>
        <w:right w:val="none" w:sz="0" w:space="0" w:color="auto"/>
      </w:divBdr>
    </w:div>
    <w:div w:id="537209433">
      <w:bodyDiv w:val="1"/>
      <w:marLeft w:val="0"/>
      <w:marRight w:val="0"/>
      <w:marTop w:val="0"/>
      <w:marBottom w:val="0"/>
      <w:divBdr>
        <w:top w:val="none" w:sz="0" w:space="0" w:color="auto"/>
        <w:left w:val="none" w:sz="0" w:space="0" w:color="auto"/>
        <w:bottom w:val="none" w:sz="0" w:space="0" w:color="auto"/>
        <w:right w:val="none" w:sz="0" w:space="0" w:color="auto"/>
      </w:divBdr>
    </w:div>
    <w:div w:id="639577913">
      <w:bodyDiv w:val="1"/>
      <w:marLeft w:val="0"/>
      <w:marRight w:val="0"/>
      <w:marTop w:val="0"/>
      <w:marBottom w:val="0"/>
      <w:divBdr>
        <w:top w:val="none" w:sz="0" w:space="0" w:color="auto"/>
        <w:left w:val="none" w:sz="0" w:space="0" w:color="auto"/>
        <w:bottom w:val="none" w:sz="0" w:space="0" w:color="auto"/>
        <w:right w:val="none" w:sz="0" w:space="0" w:color="auto"/>
      </w:divBdr>
    </w:div>
    <w:div w:id="683479591">
      <w:bodyDiv w:val="1"/>
      <w:marLeft w:val="0"/>
      <w:marRight w:val="0"/>
      <w:marTop w:val="0"/>
      <w:marBottom w:val="0"/>
      <w:divBdr>
        <w:top w:val="none" w:sz="0" w:space="0" w:color="auto"/>
        <w:left w:val="none" w:sz="0" w:space="0" w:color="auto"/>
        <w:bottom w:val="none" w:sz="0" w:space="0" w:color="auto"/>
        <w:right w:val="none" w:sz="0" w:space="0" w:color="auto"/>
      </w:divBdr>
    </w:div>
    <w:div w:id="692801226">
      <w:bodyDiv w:val="1"/>
      <w:marLeft w:val="0"/>
      <w:marRight w:val="0"/>
      <w:marTop w:val="0"/>
      <w:marBottom w:val="0"/>
      <w:divBdr>
        <w:top w:val="none" w:sz="0" w:space="0" w:color="auto"/>
        <w:left w:val="none" w:sz="0" w:space="0" w:color="auto"/>
        <w:bottom w:val="none" w:sz="0" w:space="0" w:color="auto"/>
        <w:right w:val="none" w:sz="0" w:space="0" w:color="auto"/>
      </w:divBdr>
    </w:div>
    <w:div w:id="871843276">
      <w:bodyDiv w:val="1"/>
      <w:marLeft w:val="0"/>
      <w:marRight w:val="0"/>
      <w:marTop w:val="0"/>
      <w:marBottom w:val="0"/>
      <w:divBdr>
        <w:top w:val="none" w:sz="0" w:space="0" w:color="auto"/>
        <w:left w:val="none" w:sz="0" w:space="0" w:color="auto"/>
        <w:bottom w:val="none" w:sz="0" w:space="0" w:color="auto"/>
        <w:right w:val="none" w:sz="0" w:space="0" w:color="auto"/>
      </w:divBdr>
    </w:div>
    <w:div w:id="874848973">
      <w:bodyDiv w:val="1"/>
      <w:marLeft w:val="0"/>
      <w:marRight w:val="0"/>
      <w:marTop w:val="0"/>
      <w:marBottom w:val="0"/>
      <w:divBdr>
        <w:top w:val="none" w:sz="0" w:space="0" w:color="auto"/>
        <w:left w:val="none" w:sz="0" w:space="0" w:color="auto"/>
        <w:bottom w:val="none" w:sz="0" w:space="0" w:color="auto"/>
        <w:right w:val="none" w:sz="0" w:space="0" w:color="auto"/>
      </w:divBdr>
    </w:div>
    <w:div w:id="884217139">
      <w:bodyDiv w:val="1"/>
      <w:marLeft w:val="0"/>
      <w:marRight w:val="0"/>
      <w:marTop w:val="0"/>
      <w:marBottom w:val="0"/>
      <w:divBdr>
        <w:top w:val="none" w:sz="0" w:space="0" w:color="auto"/>
        <w:left w:val="none" w:sz="0" w:space="0" w:color="auto"/>
        <w:bottom w:val="none" w:sz="0" w:space="0" w:color="auto"/>
        <w:right w:val="none" w:sz="0" w:space="0" w:color="auto"/>
      </w:divBdr>
    </w:div>
    <w:div w:id="908658852">
      <w:bodyDiv w:val="1"/>
      <w:marLeft w:val="0"/>
      <w:marRight w:val="0"/>
      <w:marTop w:val="0"/>
      <w:marBottom w:val="0"/>
      <w:divBdr>
        <w:top w:val="none" w:sz="0" w:space="0" w:color="auto"/>
        <w:left w:val="none" w:sz="0" w:space="0" w:color="auto"/>
        <w:bottom w:val="none" w:sz="0" w:space="0" w:color="auto"/>
        <w:right w:val="none" w:sz="0" w:space="0" w:color="auto"/>
      </w:divBdr>
    </w:div>
    <w:div w:id="1048839152">
      <w:bodyDiv w:val="1"/>
      <w:marLeft w:val="0"/>
      <w:marRight w:val="0"/>
      <w:marTop w:val="0"/>
      <w:marBottom w:val="0"/>
      <w:divBdr>
        <w:top w:val="none" w:sz="0" w:space="0" w:color="auto"/>
        <w:left w:val="none" w:sz="0" w:space="0" w:color="auto"/>
        <w:bottom w:val="none" w:sz="0" w:space="0" w:color="auto"/>
        <w:right w:val="none" w:sz="0" w:space="0" w:color="auto"/>
      </w:divBdr>
    </w:div>
    <w:div w:id="1092430626">
      <w:bodyDiv w:val="1"/>
      <w:marLeft w:val="0"/>
      <w:marRight w:val="0"/>
      <w:marTop w:val="0"/>
      <w:marBottom w:val="0"/>
      <w:divBdr>
        <w:top w:val="none" w:sz="0" w:space="0" w:color="auto"/>
        <w:left w:val="none" w:sz="0" w:space="0" w:color="auto"/>
        <w:bottom w:val="none" w:sz="0" w:space="0" w:color="auto"/>
        <w:right w:val="none" w:sz="0" w:space="0" w:color="auto"/>
      </w:divBdr>
    </w:div>
    <w:div w:id="1105343997">
      <w:bodyDiv w:val="1"/>
      <w:marLeft w:val="0"/>
      <w:marRight w:val="0"/>
      <w:marTop w:val="0"/>
      <w:marBottom w:val="0"/>
      <w:divBdr>
        <w:top w:val="none" w:sz="0" w:space="0" w:color="auto"/>
        <w:left w:val="none" w:sz="0" w:space="0" w:color="auto"/>
        <w:bottom w:val="none" w:sz="0" w:space="0" w:color="auto"/>
        <w:right w:val="none" w:sz="0" w:space="0" w:color="auto"/>
      </w:divBdr>
    </w:div>
    <w:div w:id="1294402423">
      <w:bodyDiv w:val="1"/>
      <w:marLeft w:val="0"/>
      <w:marRight w:val="0"/>
      <w:marTop w:val="0"/>
      <w:marBottom w:val="0"/>
      <w:divBdr>
        <w:top w:val="none" w:sz="0" w:space="0" w:color="auto"/>
        <w:left w:val="none" w:sz="0" w:space="0" w:color="auto"/>
        <w:bottom w:val="none" w:sz="0" w:space="0" w:color="auto"/>
        <w:right w:val="none" w:sz="0" w:space="0" w:color="auto"/>
      </w:divBdr>
    </w:div>
    <w:div w:id="1297027206">
      <w:bodyDiv w:val="1"/>
      <w:marLeft w:val="0"/>
      <w:marRight w:val="0"/>
      <w:marTop w:val="0"/>
      <w:marBottom w:val="0"/>
      <w:divBdr>
        <w:top w:val="none" w:sz="0" w:space="0" w:color="auto"/>
        <w:left w:val="none" w:sz="0" w:space="0" w:color="auto"/>
        <w:bottom w:val="none" w:sz="0" w:space="0" w:color="auto"/>
        <w:right w:val="none" w:sz="0" w:space="0" w:color="auto"/>
      </w:divBdr>
    </w:div>
    <w:div w:id="1334383480">
      <w:bodyDiv w:val="1"/>
      <w:marLeft w:val="0"/>
      <w:marRight w:val="0"/>
      <w:marTop w:val="0"/>
      <w:marBottom w:val="0"/>
      <w:divBdr>
        <w:top w:val="none" w:sz="0" w:space="0" w:color="auto"/>
        <w:left w:val="none" w:sz="0" w:space="0" w:color="auto"/>
        <w:bottom w:val="none" w:sz="0" w:space="0" w:color="auto"/>
        <w:right w:val="none" w:sz="0" w:space="0" w:color="auto"/>
      </w:divBdr>
    </w:div>
    <w:div w:id="1362784470">
      <w:bodyDiv w:val="1"/>
      <w:marLeft w:val="0"/>
      <w:marRight w:val="0"/>
      <w:marTop w:val="0"/>
      <w:marBottom w:val="0"/>
      <w:divBdr>
        <w:top w:val="none" w:sz="0" w:space="0" w:color="auto"/>
        <w:left w:val="none" w:sz="0" w:space="0" w:color="auto"/>
        <w:bottom w:val="none" w:sz="0" w:space="0" w:color="auto"/>
        <w:right w:val="none" w:sz="0" w:space="0" w:color="auto"/>
      </w:divBdr>
    </w:div>
    <w:div w:id="1395080607">
      <w:bodyDiv w:val="1"/>
      <w:marLeft w:val="0"/>
      <w:marRight w:val="0"/>
      <w:marTop w:val="0"/>
      <w:marBottom w:val="0"/>
      <w:divBdr>
        <w:top w:val="none" w:sz="0" w:space="0" w:color="auto"/>
        <w:left w:val="none" w:sz="0" w:space="0" w:color="auto"/>
        <w:bottom w:val="none" w:sz="0" w:space="0" w:color="auto"/>
        <w:right w:val="none" w:sz="0" w:space="0" w:color="auto"/>
      </w:divBdr>
    </w:div>
    <w:div w:id="1469932796">
      <w:bodyDiv w:val="1"/>
      <w:marLeft w:val="0"/>
      <w:marRight w:val="0"/>
      <w:marTop w:val="0"/>
      <w:marBottom w:val="0"/>
      <w:divBdr>
        <w:top w:val="none" w:sz="0" w:space="0" w:color="auto"/>
        <w:left w:val="none" w:sz="0" w:space="0" w:color="auto"/>
        <w:bottom w:val="none" w:sz="0" w:space="0" w:color="auto"/>
        <w:right w:val="none" w:sz="0" w:space="0" w:color="auto"/>
      </w:divBdr>
    </w:div>
    <w:div w:id="1533152119">
      <w:bodyDiv w:val="1"/>
      <w:marLeft w:val="0"/>
      <w:marRight w:val="0"/>
      <w:marTop w:val="0"/>
      <w:marBottom w:val="0"/>
      <w:divBdr>
        <w:top w:val="none" w:sz="0" w:space="0" w:color="auto"/>
        <w:left w:val="none" w:sz="0" w:space="0" w:color="auto"/>
        <w:bottom w:val="none" w:sz="0" w:space="0" w:color="auto"/>
        <w:right w:val="none" w:sz="0" w:space="0" w:color="auto"/>
      </w:divBdr>
    </w:div>
    <w:div w:id="1590967772">
      <w:bodyDiv w:val="1"/>
      <w:marLeft w:val="0"/>
      <w:marRight w:val="0"/>
      <w:marTop w:val="0"/>
      <w:marBottom w:val="0"/>
      <w:divBdr>
        <w:top w:val="none" w:sz="0" w:space="0" w:color="auto"/>
        <w:left w:val="none" w:sz="0" w:space="0" w:color="auto"/>
        <w:bottom w:val="none" w:sz="0" w:space="0" w:color="auto"/>
        <w:right w:val="none" w:sz="0" w:space="0" w:color="auto"/>
      </w:divBdr>
    </w:div>
    <w:div w:id="1627852455">
      <w:bodyDiv w:val="1"/>
      <w:marLeft w:val="0"/>
      <w:marRight w:val="0"/>
      <w:marTop w:val="0"/>
      <w:marBottom w:val="0"/>
      <w:divBdr>
        <w:top w:val="none" w:sz="0" w:space="0" w:color="auto"/>
        <w:left w:val="none" w:sz="0" w:space="0" w:color="auto"/>
        <w:bottom w:val="none" w:sz="0" w:space="0" w:color="auto"/>
        <w:right w:val="none" w:sz="0" w:space="0" w:color="auto"/>
      </w:divBdr>
    </w:div>
    <w:div w:id="1727096300">
      <w:bodyDiv w:val="1"/>
      <w:marLeft w:val="0"/>
      <w:marRight w:val="0"/>
      <w:marTop w:val="0"/>
      <w:marBottom w:val="0"/>
      <w:divBdr>
        <w:top w:val="none" w:sz="0" w:space="0" w:color="auto"/>
        <w:left w:val="none" w:sz="0" w:space="0" w:color="auto"/>
        <w:bottom w:val="none" w:sz="0" w:space="0" w:color="auto"/>
        <w:right w:val="none" w:sz="0" w:space="0" w:color="auto"/>
      </w:divBdr>
    </w:div>
    <w:div w:id="1740521269">
      <w:bodyDiv w:val="1"/>
      <w:marLeft w:val="0"/>
      <w:marRight w:val="0"/>
      <w:marTop w:val="0"/>
      <w:marBottom w:val="0"/>
      <w:divBdr>
        <w:top w:val="none" w:sz="0" w:space="0" w:color="auto"/>
        <w:left w:val="none" w:sz="0" w:space="0" w:color="auto"/>
        <w:bottom w:val="none" w:sz="0" w:space="0" w:color="auto"/>
        <w:right w:val="none" w:sz="0" w:space="0" w:color="auto"/>
      </w:divBdr>
    </w:div>
    <w:div w:id="1811970759">
      <w:bodyDiv w:val="1"/>
      <w:marLeft w:val="0"/>
      <w:marRight w:val="0"/>
      <w:marTop w:val="0"/>
      <w:marBottom w:val="0"/>
      <w:divBdr>
        <w:top w:val="none" w:sz="0" w:space="0" w:color="auto"/>
        <w:left w:val="none" w:sz="0" w:space="0" w:color="auto"/>
        <w:bottom w:val="none" w:sz="0" w:space="0" w:color="auto"/>
        <w:right w:val="none" w:sz="0" w:space="0" w:color="auto"/>
      </w:divBdr>
    </w:div>
    <w:div w:id="1838037234">
      <w:bodyDiv w:val="1"/>
      <w:marLeft w:val="0"/>
      <w:marRight w:val="0"/>
      <w:marTop w:val="0"/>
      <w:marBottom w:val="0"/>
      <w:divBdr>
        <w:top w:val="none" w:sz="0" w:space="0" w:color="auto"/>
        <w:left w:val="none" w:sz="0" w:space="0" w:color="auto"/>
        <w:bottom w:val="none" w:sz="0" w:space="0" w:color="auto"/>
        <w:right w:val="none" w:sz="0" w:space="0" w:color="auto"/>
      </w:divBdr>
    </w:div>
    <w:div w:id="1867331801">
      <w:bodyDiv w:val="1"/>
      <w:marLeft w:val="0"/>
      <w:marRight w:val="0"/>
      <w:marTop w:val="0"/>
      <w:marBottom w:val="0"/>
      <w:divBdr>
        <w:top w:val="none" w:sz="0" w:space="0" w:color="auto"/>
        <w:left w:val="none" w:sz="0" w:space="0" w:color="auto"/>
        <w:bottom w:val="none" w:sz="0" w:space="0" w:color="auto"/>
        <w:right w:val="none" w:sz="0" w:space="0" w:color="auto"/>
      </w:divBdr>
    </w:div>
    <w:div w:id="1916435192">
      <w:bodyDiv w:val="1"/>
      <w:marLeft w:val="0"/>
      <w:marRight w:val="0"/>
      <w:marTop w:val="0"/>
      <w:marBottom w:val="0"/>
      <w:divBdr>
        <w:top w:val="none" w:sz="0" w:space="0" w:color="auto"/>
        <w:left w:val="none" w:sz="0" w:space="0" w:color="auto"/>
        <w:bottom w:val="none" w:sz="0" w:space="0" w:color="auto"/>
        <w:right w:val="none" w:sz="0" w:space="0" w:color="auto"/>
      </w:divBdr>
    </w:div>
    <w:div w:id="1941916268">
      <w:bodyDiv w:val="1"/>
      <w:marLeft w:val="0"/>
      <w:marRight w:val="0"/>
      <w:marTop w:val="0"/>
      <w:marBottom w:val="0"/>
      <w:divBdr>
        <w:top w:val="none" w:sz="0" w:space="0" w:color="auto"/>
        <w:left w:val="none" w:sz="0" w:space="0" w:color="auto"/>
        <w:bottom w:val="none" w:sz="0" w:space="0" w:color="auto"/>
        <w:right w:val="none" w:sz="0" w:space="0" w:color="auto"/>
      </w:divBdr>
    </w:div>
    <w:div w:id="1948539533">
      <w:bodyDiv w:val="1"/>
      <w:marLeft w:val="0"/>
      <w:marRight w:val="0"/>
      <w:marTop w:val="0"/>
      <w:marBottom w:val="0"/>
      <w:divBdr>
        <w:top w:val="none" w:sz="0" w:space="0" w:color="auto"/>
        <w:left w:val="none" w:sz="0" w:space="0" w:color="auto"/>
        <w:bottom w:val="none" w:sz="0" w:space="0" w:color="auto"/>
        <w:right w:val="none" w:sz="0" w:space="0" w:color="auto"/>
      </w:divBdr>
    </w:div>
    <w:div w:id="1996954118">
      <w:bodyDiv w:val="1"/>
      <w:marLeft w:val="0"/>
      <w:marRight w:val="0"/>
      <w:marTop w:val="0"/>
      <w:marBottom w:val="0"/>
      <w:divBdr>
        <w:top w:val="none" w:sz="0" w:space="0" w:color="auto"/>
        <w:left w:val="none" w:sz="0" w:space="0" w:color="auto"/>
        <w:bottom w:val="none" w:sz="0" w:space="0" w:color="auto"/>
        <w:right w:val="none" w:sz="0" w:space="0" w:color="auto"/>
      </w:divBdr>
    </w:div>
    <w:div w:id="2066643197">
      <w:bodyDiv w:val="1"/>
      <w:marLeft w:val="0"/>
      <w:marRight w:val="0"/>
      <w:marTop w:val="0"/>
      <w:marBottom w:val="0"/>
      <w:divBdr>
        <w:top w:val="none" w:sz="0" w:space="0" w:color="auto"/>
        <w:left w:val="none" w:sz="0" w:space="0" w:color="auto"/>
        <w:bottom w:val="none" w:sz="0" w:space="0" w:color="auto"/>
        <w:right w:val="none" w:sz="0" w:space="0" w:color="auto"/>
      </w:divBdr>
    </w:div>
    <w:div w:id="2087990741">
      <w:bodyDiv w:val="1"/>
      <w:marLeft w:val="0"/>
      <w:marRight w:val="0"/>
      <w:marTop w:val="0"/>
      <w:marBottom w:val="0"/>
      <w:divBdr>
        <w:top w:val="none" w:sz="0" w:space="0" w:color="auto"/>
        <w:left w:val="none" w:sz="0" w:space="0" w:color="auto"/>
        <w:bottom w:val="none" w:sz="0" w:space="0" w:color="auto"/>
        <w:right w:val="none" w:sz="0" w:space="0" w:color="auto"/>
      </w:divBdr>
    </w:div>
    <w:div w:id="211061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WebForm_DoPostBackWithOptions(new%20WebForm_PostBackOptions(%22ctl00$cntPlaceHldMain$serchForm$gvDecisions$ctl03$lblDecNumber%22,%20%22%22,%20true,%20%22%22,%20%22%22,%20false,%20tru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WebForm_DoPostBackWithOptions(new%20WebForm_PostBackOptions(%22ctl00$cntPlaceHldMain$serchForm$gvDecisions$ctl04$lblDecNumber%22,%20%22%22,%20true,%20%22%22,%20%22%22,%20false,%20true))"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javascript:WebForm_DoPostBackWithOptions(new%20WebForm_PostBackOptions(%22ctl00$cntPlaceHldMain$serchForm$gvDecisions$ctl06$lnkDossNumber%22,%20%22%22,%20true,%20%22%22,%20%22Dossier.aspx?DossID=300061390%22,%20false,%20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04R0139&amp;Type=201" TargetMode="External"/><Relationship Id="rId5" Type="http://schemas.openxmlformats.org/officeDocument/2006/relationships/webSettings" Target="webSettings.xml"/><Relationship Id="rId15" Type="http://schemas.openxmlformats.org/officeDocument/2006/relationships/hyperlink" Target="javascript:WebForm_DoPostBackWithOptions(new%20WebForm_PostBackOptions(%22ctl00$cntPlaceHldMain$serchForm$gvDecisions$ctl08$lnkDossNumber%22,%20%22%22,%20true,%20%22%22,%20%22Dossier.aspx?DossID=300061198%22,%20false,%20true))" TargetMode="External"/><Relationship Id="rId10" Type="http://schemas.openxmlformats.org/officeDocument/2006/relationships/hyperlink" Target="apis://Base=APEV&amp;CELEX=32003R0001&amp;Type=2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javascript:WebForm_DoPostBackWithOptions(new%20WebForm_PostBackOptions(%22ctl00$cntPlaceHldMain$serchForm$gvDecisions$ctl02$lblDecNumber%22,%20%22%22,%20true,%20%22%22,%20%22%22,%20false,%20tru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javascript:__doPostBack('ctl00$cntPlaceHldMain$gvDecisions$ctl06$lblDecNumber','')" TargetMode="External"/><Relationship Id="rId2" Type="http://schemas.openxmlformats.org/officeDocument/2006/relationships/hyperlink" Target="javascript:WebForm_DoPostBackWithOptions(new%20WebForm_PostBackOptions(%22ctl00$cntPlaceHldMain$serchForm$gvDecisions$ctl05$lnkDossNumber%22,%20%22%22,%20true,%20%22%22,%20%22Dossier.aspx?DossID=300060442%22,%20false,%20true))" TargetMode="External"/><Relationship Id="rId1" Type="http://schemas.openxmlformats.org/officeDocument/2006/relationships/hyperlink" Target="javascript:WebForm_DoPostBackWithOptions(new%20WebForm_PostBackOptions(%22ctl00$cntPlaceHldMain$serchForm$gvDecisions$ctl05$lnkDossNumber%22,%20%22%22,%20true,%20%22%22,%20%22Dossier.aspx?DossID=300060442%22,%20false,%20true))" TargetMode="External"/><Relationship Id="rId6" Type="http://schemas.openxmlformats.org/officeDocument/2006/relationships/hyperlink" Target="javascript:WebForm_DoPostBackWithOptions(new%20WebForm_PostBackOptions(%22ctl00$cntPlaceHldMain$serchForm$gvDecisions$ctl03$lblDecNumber%22,%20%22%22,%20true,%20%22%22,%20%22%22,%20false,%20true))" TargetMode="External"/><Relationship Id="rId5" Type="http://schemas.openxmlformats.org/officeDocument/2006/relationships/hyperlink" Target="javascript:WebForm_DoPostBackWithOptions(new%20WebForm_PostBackOptions(%22ctl00$cntPlaceHldMain$serchForm$gvDecisions$ctl02$lnkDossNumber%22,%20%22%22,%20true,%20%22%22,%20%22Dossier.aspx?DossID=300058034%22,%20false,%20true))" TargetMode="External"/><Relationship Id="rId4" Type="http://schemas.openxmlformats.org/officeDocument/2006/relationships/hyperlink" Target="javascript:WebForm_DoPostBackWithOptions(new%20WebForm_PostBackOptions(%22ctl00$cntPlaceHldMain$serchForm$gvDecisions$ctl05$lblDecNumber%22,%20%22%22,%20true,%20%22%22,%20%22%22,%20false,%20tru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bg-BG"/>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Съдебна ревизия на актовете на КЗК през първата половина на 2025г.</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681-46EE-B5B2-5DDBC21B03E0}"/>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681-46EE-B5B2-5DDBC21B03E0}"/>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9681-46EE-B5B2-5DDBC21B03E0}"/>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9681-46EE-B5B2-5DDBC21B03E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bg-BG"/>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Потвърдени</c:v>
                </c:pt>
                <c:pt idx="1">
                  <c:v>Отменени</c:v>
                </c:pt>
                <c:pt idx="2">
                  <c:v>Частично потвърдени</c:v>
                </c:pt>
              </c:strCache>
            </c:strRef>
          </c:cat>
          <c:val>
            <c:numRef>
              <c:f>Sheet1!$B$2:$B$5</c:f>
              <c:numCache>
                <c:formatCode>General</c:formatCode>
                <c:ptCount val="4"/>
                <c:pt idx="0">
                  <c:v>29</c:v>
                </c:pt>
                <c:pt idx="1">
                  <c:v>13</c:v>
                </c:pt>
                <c:pt idx="2">
                  <c:v>3</c:v>
                </c:pt>
              </c:numCache>
            </c:numRef>
          </c:val>
          <c:extLst>
            <c:ext xmlns:c16="http://schemas.microsoft.com/office/drawing/2014/chart" uri="{C3380CC4-5D6E-409C-BE32-E72D297353CC}">
              <c16:uniqueId val="{00000008-9681-46EE-B5B2-5DDBC21B03E0}"/>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bg-BG"/>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bg-B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6CCD6-0DB5-4D53-AAA8-5DA988A2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4213</TotalTime>
  <Pages>34</Pages>
  <Words>14416</Words>
  <Characters>82177</Characters>
  <DocSecurity>0</DocSecurity>
  <Lines>684</Lines>
  <Paragraphs>192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2025-08-22T08:01:00Z</cp:lastPrinted>
  <dcterms:created xsi:type="dcterms:W3CDTF">2020-08-12T07:27:00Z</dcterms:created>
  <dcterms:modified xsi:type="dcterms:W3CDTF">2025-08-22T08:44:00Z</dcterms:modified>
</cp:coreProperties>
</file>